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21B5B0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00EA5F89">
        <w:rPr>
          <w:bCs/>
          <w:noProof w:val="0"/>
          <w:sz w:val="24"/>
          <w:szCs w:val="24"/>
        </w:rPr>
        <w:t>R2-2212258</w:t>
      </w:r>
    </w:p>
    <w:p w14:paraId="11776FA6" w14:textId="2A2CEADF"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805A1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5F89">
        <w:rPr>
          <w:rFonts w:cs="Arial"/>
          <w:b/>
          <w:bCs/>
          <w:sz w:val="24"/>
          <w:lang w:eastAsia="ja-JP"/>
        </w:rPr>
        <w:t>6.10.3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D0CD47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5F89" w:rsidRPr="00EA5F89">
        <w:rPr>
          <w:rFonts w:ascii="Arial" w:hAnsi="Arial" w:cs="Arial"/>
          <w:b/>
          <w:bCs/>
          <w:sz w:val="24"/>
        </w:rPr>
        <w:t>On T430 and epochTime - Final Clarifications</w:t>
      </w:r>
    </w:p>
    <w:p w14:paraId="25F387E8" w14:textId="5ECCA70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A5F89" w:rsidRPr="00EA5F89">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EA5F89">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E064C4" w14:textId="280A133E" w:rsidR="00287130" w:rsidRDefault="00287130" w:rsidP="009339CB">
      <w:r>
        <w:t>RAN2 did send an LS to RAN1 in R2-2211048 [1] stating:</w:t>
      </w:r>
    </w:p>
    <w:p w14:paraId="4DC87C8F" w14:textId="0EF98527" w:rsidR="00287130" w:rsidRDefault="00287130" w:rsidP="00287130">
      <w:pPr>
        <w:pBdr>
          <w:top w:val="single" w:sz="4" w:space="1" w:color="auto"/>
          <w:left w:val="single" w:sz="4" w:space="4" w:color="auto"/>
          <w:bottom w:val="single" w:sz="4" w:space="1" w:color="auto"/>
          <w:right w:val="single" w:sz="4" w:space="4" w:color="auto"/>
        </w:pBdr>
      </w:pPr>
      <w:r>
        <w:rPr>
          <w:rFonts w:eastAsia="SimSun"/>
          <w:lang w:eastAsia="zh-CN"/>
        </w:rPr>
        <w:t xml:space="preserve">Regarding RAN1’s agreement on serving cell’s Epoch time </w:t>
      </w:r>
      <w:r>
        <w:rPr>
          <w:iCs/>
          <w:lang w:eastAsia="zh-CN"/>
        </w:rPr>
        <w:t xml:space="preserve">referring to the current SFN or the next upcoming SFN after the frame where the message indicating the Epoch time is received, RAN2 has discussed and </w:t>
      </w:r>
      <w:r>
        <w:t>thinks that there could be an issue with latency (e.g. for initial access) when Epoch time points to a future time and validity timer has not started.</w:t>
      </w:r>
    </w:p>
    <w:p w14:paraId="1575D9F3" w14:textId="0978B75D" w:rsidR="00287130" w:rsidRDefault="00287130" w:rsidP="00287130">
      <w:pPr>
        <w:pBdr>
          <w:top w:val="single" w:sz="4" w:space="1" w:color="auto"/>
          <w:left w:val="single" w:sz="4" w:space="4" w:color="auto"/>
          <w:bottom w:val="single" w:sz="4" w:space="1" w:color="auto"/>
          <w:right w:val="single" w:sz="4" w:space="4" w:color="auto"/>
        </w:pBdr>
      </w:pPr>
      <w:r>
        <w:t>To solve this issue, RAN2 kindly requests RAN1 to provide feedback on whether:</w:t>
      </w:r>
    </w:p>
    <w:p w14:paraId="28744EAB" w14:textId="6B1E0ADA" w:rsidR="00287130" w:rsidRDefault="00287130" w:rsidP="00287130">
      <w:pPr>
        <w:pBdr>
          <w:top w:val="single" w:sz="4" w:space="1" w:color="auto"/>
          <w:left w:val="single" w:sz="4" w:space="4" w:color="auto"/>
          <w:bottom w:val="single" w:sz="4" w:space="1" w:color="auto"/>
          <w:right w:val="single" w:sz="4" w:space="4" w:color="auto"/>
        </w:pBdr>
      </w:pPr>
      <w:r>
        <w:t>1. backwards propagation of satellite assistance information is needed, or</w:t>
      </w:r>
    </w:p>
    <w:p w14:paraId="7A93339E" w14:textId="388EE863" w:rsidR="00287130" w:rsidRDefault="00287130" w:rsidP="00287130">
      <w:pPr>
        <w:pBdr>
          <w:top w:val="single" w:sz="4" w:space="1" w:color="auto"/>
          <w:left w:val="single" w:sz="4" w:space="4" w:color="auto"/>
          <w:bottom w:val="single" w:sz="4" w:space="1" w:color="auto"/>
          <w:right w:val="single" w:sz="4" w:space="4" w:color="auto"/>
        </w:pBdr>
        <w:rPr>
          <w:iCs/>
          <w:lang w:eastAsia="zh-CN"/>
        </w:rPr>
      </w:pPr>
      <w:r>
        <w:t>2. Epoch time for serving cell can point to a time in the past (for example, if Epoch time for serving cell will always refer to a</w:t>
      </w:r>
      <w:r>
        <w:rPr>
          <w:iCs/>
          <w:lang w:eastAsia="zh-CN"/>
        </w:rPr>
        <w:t xml:space="preserve"> frame nearest to the frame where the message indicating the Epoch time is received), or</w:t>
      </w:r>
    </w:p>
    <w:p w14:paraId="5D75E54C" w14:textId="16E50389" w:rsidR="00287130" w:rsidRDefault="00287130" w:rsidP="00F35980">
      <w:pPr>
        <w:pBdr>
          <w:top w:val="single" w:sz="4" w:space="1" w:color="auto"/>
          <w:left w:val="single" w:sz="4" w:space="4" w:color="auto"/>
          <w:bottom w:val="single" w:sz="4" w:space="1" w:color="auto"/>
          <w:right w:val="single" w:sz="4" w:space="4" w:color="auto"/>
        </w:pBdr>
        <w:spacing w:before="240"/>
      </w:pPr>
      <w:r>
        <w:rPr>
          <w:iCs/>
          <w:lang w:eastAsia="zh-CN"/>
        </w:rPr>
        <w:t>3.</w:t>
      </w:r>
      <w:r w:rsidRPr="00287130">
        <w:t xml:space="preserve"> </w:t>
      </w:r>
      <w:r>
        <w:t>this can be addressed by setting the Epoch time properly by the network (i.e. no spec changes</w:t>
      </w:r>
      <w:r w:rsidR="00F35980">
        <w:t>)</w:t>
      </w:r>
      <w:r>
        <w:t>.</w:t>
      </w:r>
    </w:p>
    <w:p w14:paraId="7C76F6AC" w14:textId="17F23B28" w:rsidR="00287130" w:rsidRDefault="00287130" w:rsidP="00287130">
      <w:pPr>
        <w:pBdr>
          <w:top w:val="single" w:sz="4" w:space="1" w:color="auto"/>
          <w:left w:val="single" w:sz="4" w:space="4" w:color="auto"/>
          <w:bottom w:val="single" w:sz="4" w:space="1" w:color="auto"/>
          <w:right w:val="single" w:sz="4" w:space="4" w:color="auto"/>
        </w:pBdr>
      </w:pPr>
      <w:r>
        <w:rPr>
          <w:lang w:eastAsia="zh-CN"/>
        </w:rPr>
        <w:t>Note that in RAN2 there is no consensus on which above option will solve the issue or can only mitigate the issue</w:t>
      </w:r>
    </w:p>
    <w:p w14:paraId="57D6EDA8" w14:textId="58C5F187" w:rsidR="00287130" w:rsidRPr="00287130" w:rsidRDefault="00287130" w:rsidP="00B827DD">
      <w:pPr>
        <w:pStyle w:val="xxmsonormal"/>
        <w:shd w:val="clear" w:color="auto" w:fill="FFFFFF"/>
        <w:spacing w:before="0" w:beforeAutospacing="0" w:after="0" w:afterAutospacing="0"/>
      </w:pPr>
      <w:r w:rsidRPr="00287130">
        <w:rPr>
          <w:rFonts w:ascii="Times New Roman" w:eastAsia="Times New Roman" w:hAnsi="Times New Roman" w:cs="Times New Roman"/>
          <w:color w:val="000000"/>
          <w:sz w:val="20"/>
          <w:szCs w:val="20"/>
          <w:lang w:val="en-US"/>
        </w:rPr>
        <w:t>In this contribution we would like to confirm what the expected UE behavior is for the different possibilities when a UE is handed over from one cell to another.</w:t>
      </w:r>
    </w:p>
    <w:p w14:paraId="7D484B6E" w14:textId="0B99EECA" w:rsidR="009339CB" w:rsidRDefault="009339CB" w:rsidP="009339CB">
      <w:pPr>
        <w:pStyle w:val="Heading1"/>
      </w:pPr>
      <w:r w:rsidRPr="006E13D1">
        <w:t>2</w:t>
      </w:r>
      <w:r w:rsidRPr="006E13D1">
        <w:tab/>
      </w:r>
      <w:r w:rsidR="00287130">
        <w:t>Expected behaviour</w:t>
      </w:r>
    </w:p>
    <w:p w14:paraId="1235CFA3" w14:textId="08EBD9F4" w:rsidR="009017FC" w:rsidRDefault="009017FC" w:rsidP="009017FC">
      <w:r>
        <w:t>In this section we describe our understanding of the expected behaviour of the UE during handover related to T430 for three different ways the timer can be initiated. The</w:t>
      </w:r>
      <w:r w:rsidR="00064A55">
        <w:t>se</w:t>
      </w:r>
      <w:r>
        <w:t xml:space="preserve"> cases are based on two principles:</w:t>
      </w:r>
    </w:p>
    <w:p w14:paraId="0D60E2CE" w14:textId="416F87A2" w:rsidR="009017FC" w:rsidRDefault="009017FC" w:rsidP="009017FC">
      <w:pPr>
        <w:pStyle w:val="ListParagraph"/>
        <w:numPr>
          <w:ilvl w:val="0"/>
          <w:numId w:val="14"/>
        </w:numPr>
      </w:pPr>
      <w:r w:rsidRPr="009017FC">
        <w:rPr>
          <w:b/>
          <w:bCs/>
        </w:rPr>
        <w:t xml:space="preserve">Backwards propagation of </w:t>
      </w:r>
      <w:r w:rsidR="0026275C">
        <w:rPr>
          <w:b/>
          <w:bCs/>
        </w:rPr>
        <w:t>ephemeris and corresponding</w:t>
      </w:r>
      <w:r w:rsidR="00B777E6">
        <w:rPr>
          <w:b/>
          <w:bCs/>
        </w:rPr>
        <w:t xml:space="preserve"> </w:t>
      </w:r>
      <w:r w:rsidR="00ED7CB3">
        <w:rPr>
          <w:b/>
          <w:bCs/>
        </w:rPr>
        <w:t xml:space="preserve">increased </w:t>
      </w:r>
      <w:r w:rsidRPr="009017FC">
        <w:rPr>
          <w:b/>
          <w:bCs/>
        </w:rPr>
        <w:t>T430</w:t>
      </w:r>
      <w:r>
        <w:t>, i.e. the timer can be started before the related epoch time as propagation conditions are symmetric</w:t>
      </w:r>
      <w:r w:rsidR="006979BE">
        <w:t>, meaning the assistance information can be used before the epoch timer</w:t>
      </w:r>
      <w:r>
        <w:t>.</w:t>
      </w:r>
    </w:p>
    <w:p w14:paraId="388A8B6E" w14:textId="5B151059" w:rsidR="009017FC" w:rsidRDefault="009017FC" w:rsidP="009017FC">
      <w:pPr>
        <w:pStyle w:val="ListParagraph"/>
        <w:numPr>
          <w:ilvl w:val="0"/>
          <w:numId w:val="14"/>
        </w:numPr>
      </w:pPr>
      <w:r w:rsidRPr="009017FC">
        <w:rPr>
          <w:b/>
          <w:bCs/>
        </w:rPr>
        <w:t>Reduced T430</w:t>
      </w:r>
      <w:r>
        <w:t xml:space="preserve">, meaning the assistance information is read at a </w:t>
      </w:r>
      <w:r w:rsidR="00E227D2">
        <w:t xml:space="preserve">later </w:t>
      </w:r>
      <w:r>
        <w:t>time than the epoch time and the T430 is reduced to take the time to the epoch time into account.</w:t>
      </w:r>
    </w:p>
    <w:p w14:paraId="6E27A36A" w14:textId="70E95C22" w:rsidR="00287FC4" w:rsidRDefault="009017FC" w:rsidP="00287FC4">
      <w:r>
        <w:t>We focus on the following three cases:</w:t>
      </w:r>
    </w:p>
    <w:p w14:paraId="4380860D" w14:textId="522114B3" w:rsidR="009017FC" w:rsidRDefault="009017FC" w:rsidP="009017FC">
      <w:pPr>
        <w:pStyle w:val="ListParagraph"/>
        <w:numPr>
          <w:ilvl w:val="0"/>
          <w:numId w:val="15"/>
        </w:numPr>
      </w:pPr>
      <w:r>
        <w:t xml:space="preserve">No </w:t>
      </w:r>
      <w:r w:rsidR="00ED7CB3">
        <w:t>increased</w:t>
      </w:r>
      <w:r w:rsidR="00D124AB">
        <w:t xml:space="preserve"> </w:t>
      </w:r>
      <w:r>
        <w:t>T430 and no reduced T430</w:t>
      </w:r>
    </w:p>
    <w:p w14:paraId="3AC1FC45" w14:textId="69B52F06" w:rsidR="009017FC" w:rsidRDefault="009017FC" w:rsidP="009017FC">
      <w:pPr>
        <w:pStyle w:val="ListParagraph"/>
        <w:numPr>
          <w:ilvl w:val="0"/>
          <w:numId w:val="15"/>
        </w:numPr>
      </w:pPr>
      <w:r>
        <w:t xml:space="preserve">Reduced T430 </w:t>
      </w:r>
    </w:p>
    <w:p w14:paraId="65D2275F" w14:textId="330F8177" w:rsidR="009017FC" w:rsidRDefault="00ED7CB3" w:rsidP="009017FC">
      <w:pPr>
        <w:pStyle w:val="ListParagraph"/>
        <w:numPr>
          <w:ilvl w:val="0"/>
          <w:numId w:val="15"/>
        </w:numPr>
      </w:pPr>
      <w:r>
        <w:t>Increased</w:t>
      </w:r>
      <w:r w:rsidR="009017FC">
        <w:t xml:space="preserve"> </w:t>
      </w:r>
      <w:r w:rsidR="0074124E">
        <w:t>T</w:t>
      </w:r>
      <w:r w:rsidR="009017FC">
        <w:t>430</w:t>
      </w:r>
    </w:p>
    <w:p w14:paraId="5982B445" w14:textId="5456B918" w:rsidR="009339CB" w:rsidRDefault="009339CB" w:rsidP="009339CB">
      <w:pPr>
        <w:pStyle w:val="Heading2"/>
      </w:pPr>
      <w:r>
        <w:t>2</w:t>
      </w:r>
      <w:r w:rsidRPr="006E13D1">
        <w:t>.1</w:t>
      </w:r>
      <w:r w:rsidRPr="006E13D1">
        <w:tab/>
      </w:r>
      <w:r w:rsidR="00367DE9">
        <w:t>The problem of larger HO delays in current T430 configuration</w:t>
      </w:r>
    </w:p>
    <w:p w14:paraId="68759DBF" w14:textId="1BAEB3B0" w:rsidR="00142C36" w:rsidRDefault="00D124AB" w:rsidP="00287130">
      <w:r>
        <w:t xml:space="preserve">In this </w:t>
      </w:r>
      <w:r w:rsidR="001945FB">
        <w:t xml:space="preserve">considered case </w:t>
      </w:r>
      <w:r>
        <w:t xml:space="preserve">there is no increased T430 and no reduced T430. </w:t>
      </w:r>
      <w:r w:rsidR="00142C36">
        <w:t xml:space="preserve">There are two ways for the UE to acquire the satellite assistance information from the target cell (including the epoch time) in a handover procedure: </w:t>
      </w:r>
    </w:p>
    <w:p w14:paraId="3057A44C" w14:textId="31E43549" w:rsidR="00142C36" w:rsidRDefault="00142C36" w:rsidP="00B827DD">
      <w:pPr>
        <w:pStyle w:val="ListParagraph"/>
        <w:numPr>
          <w:ilvl w:val="0"/>
          <w:numId w:val="21"/>
        </w:numPr>
      </w:pPr>
      <w:r>
        <w:lastRenderedPageBreak/>
        <w:t>The information is passed by the NW to the UE within the HO command</w:t>
      </w:r>
    </w:p>
    <w:p w14:paraId="1ADD0D16" w14:textId="0EC5025E" w:rsidR="00142C36" w:rsidRDefault="00142C36" w:rsidP="00B827DD">
      <w:pPr>
        <w:pStyle w:val="ListParagraph"/>
        <w:numPr>
          <w:ilvl w:val="0"/>
          <w:numId w:val="21"/>
        </w:numPr>
      </w:pPr>
      <w:r>
        <w:t xml:space="preserve">The UE acquires the SIB19 from the target cell (by listening to the target cell of via the neighbour cell config list). </w:t>
      </w:r>
    </w:p>
    <w:p w14:paraId="45D20F17" w14:textId="65B8CA06" w:rsidR="00142C36" w:rsidRDefault="00142C36" w:rsidP="00142C36">
      <w:r>
        <w:t>In order to execute the HO command, the UE can only attempt the Random Access towards the target cell after T430 is running, indicating the UE is sync. But the current configuration for the timer T430 states that it can only be started at the epoch time. As shown in the box below:</w:t>
      </w:r>
    </w:p>
    <w:tbl>
      <w:tblPr>
        <w:tblStyle w:val="TableGrid"/>
        <w:tblW w:w="0" w:type="auto"/>
        <w:tblLook w:val="04A0" w:firstRow="1" w:lastRow="0" w:firstColumn="1" w:lastColumn="0" w:noHBand="0" w:noVBand="1"/>
      </w:tblPr>
      <w:tblGrid>
        <w:gridCol w:w="9617"/>
      </w:tblGrid>
      <w:tr w:rsidR="00142C36" w14:paraId="461CA544" w14:textId="77777777" w:rsidTr="000106EF">
        <w:tc>
          <w:tcPr>
            <w:tcW w:w="9617" w:type="dxa"/>
          </w:tcPr>
          <w:p w14:paraId="2699C291" w14:textId="77777777" w:rsidR="00142C36" w:rsidRPr="00A30646" w:rsidRDefault="00142C36" w:rsidP="000106EF">
            <w:pPr>
              <w:pStyle w:val="paragraph"/>
              <w:spacing w:before="0" w:beforeAutospacing="0" w:after="0" w:afterAutospacing="0"/>
              <w:textAlignment w:val="baseline"/>
              <w:rPr>
                <w:rStyle w:val="normaltextrun"/>
                <w:b/>
                <w:bCs/>
                <w:sz w:val="20"/>
                <w:szCs w:val="20"/>
              </w:rPr>
            </w:pPr>
            <w:r w:rsidRPr="00A30646">
              <w:rPr>
                <w:rStyle w:val="normaltextrun"/>
                <w:b/>
                <w:bCs/>
                <w:sz w:val="20"/>
                <w:szCs w:val="20"/>
              </w:rPr>
              <w:t>From TS 38.331</w:t>
            </w:r>
            <w:r w:rsidRPr="00367DE9">
              <w:rPr>
                <w:rStyle w:val="normaltextrun"/>
                <w:b/>
                <w:bCs/>
                <w:sz w:val="20"/>
                <w:szCs w:val="20"/>
              </w:rPr>
              <w:t>,</w:t>
            </w:r>
            <w:r w:rsidRPr="00A30646">
              <w:rPr>
                <w:rStyle w:val="normaltextrun"/>
                <w:b/>
                <w:bCs/>
                <w:sz w:val="20"/>
                <w:szCs w:val="20"/>
              </w:rPr>
              <w:t xml:space="preserve"> Section 7 </w:t>
            </w:r>
            <w:r w:rsidRPr="00142C36">
              <w:rPr>
                <w:rStyle w:val="normaltextrun"/>
                <w:b/>
                <w:bCs/>
                <w:sz w:val="20"/>
                <w:szCs w:val="20"/>
              </w:rPr>
              <w:fldChar w:fldCharType="begin"/>
            </w:r>
            <w:r w:rsidRPr="00A30646">
              <w:rPr>
                <w:rStyle w:val="normaltextrun"/>
                <w:b/>
                <w:bCs/>
                <w:sz w:val="20"/>
                <w:szCs w:val="20"/>
              </w:rPr>
              <w:instrText xml:space="preserve"> REF _Ref118130224 \r \h </w:instrText>
            </w:r>
            <w:r>
              <w:rPr>
                <w:rStyle w:val="normaltextrun"/>
                <w:b/>
                <w:bCs/>
                <w:sz w:val="20"/>
                <w:szCs w:val="20"/>
              </w:rPr>
              <w:instrText xml:space="preserve"> \* MERGEFORMAT </w:instrText>
            </w:r>
            <w:r w:rsidRPr="00142C36">
              <w:rPr>
                <w:rStyle w:val="normaltextrun"/>
                <w:b/>
                <w:bCs/>
                <w:sz w:val="20"/>
                <w:szCs w:val="20"/>
              </w:rPr>
            </w:r>
            <w:r w:rsidRPr="00142C36">
              <w:rPr>
                <w:rStyle w:val="normaltextrun"/>
                <w:b/>
                <w:bCs/>
                <w:sz w:val="20"/>
                <w:szCs w:val="20"/>
              </w:rPr>
              <w:fldChar w:fldCharType="separate"/>
            </w:r>
            <w:r w:rsidRPr="00142C36">
              <w:rPr>
                <w:rStyle w:val="normaltextrun"/>
                <w:b/>
                <w:bCs/>
                <w:sz w:val="20"/>
                <w:szCs w:val="20"/>
              </w:rPr>
              <w:t>[2]</w:t>
            </w:r>
            <w:r w:rsidRPr="00142C36">
              <w:rPr>
                <w:rStyle w:val="normaltextrun"/>
                <w:b/>
                <w:bCs/>
                <w:sz w:val="20"/>
                <w:szCs w:val="20"/>
              </w:rPr>
              <w:fldChar w:fldCharType="end"/>
            </w:r>
            <w:r w:rsidRPr="00A30646">
              <w:rPr>
                <w:rStyle w:val="normaltextrun"/>
                <w:b/>
                <w:bCs/>
                <w:sz w:val="20"/>
                <w:szCs w:val="20"/>
              </w:rPr>
              <w:fldChar w:fldCharType="begin"/>
            </w:r>
            <w:r w:rsidRPr="00A30646">
              <w:rPr>
                <w:rStyle w:val="normaltextrun"/>
                <w:b/>
                <w:bCs/>
                <w:sz w:val="20"/>
                <w:szCs w:val="20"/>
              </w:rPr>
              <w:instrText xml:space="preserve"> REF _Ref118130224 \r \h  \* MERGEFORMAT </w:instrText>
            </w:r>
            <w:r w:rsidRPr="00A30646">
              <w:rPr>
                <w:rStyle w:val="normaltextrun"/>
                <w:b/>
                <w:bCs/>
                <w:sz w:val="20"/>
                <w:szCs w:val="20"/>
              </w:rPr>
            </w:r>
            <w:r w:rsidR="00423A3D">
              <w:rPr>
                <w:rStyle w:val="normaltextrun"/>
                <w:b/>
                <w:bCs/>
                <w:sz w:val="20"/>
                <w:szCs w:val="20"/>
              </w:rPr>
              <w:fldChar w:fldCharType="separate"/>
            </w:r>
            <w:r w:rsidRPr="00A30646">
              <w:rPr>
                <w:rStyle w:val="normaltextrun"/>
                <w:b/>
                <w:bCs/>
                <w:sz w:val="20"/>
                <w:szCs w:val="20"/>
              </w:rPr>
              <w:fldChar w:fldCharType="end"/>
            </w:r>
          </w:p>
          <w:p w14:paraId="73CA0D03" w14:textId="77777777" w:rsidR="00142C36" w:rsidRDefault="00142C36" w:rsidP="000106EF">
            <w:pPr>
              <w:pStyle w:val="paragraph"/>
              <w:spacing w:before="0" w:beforeAutospacing="0" w:after="0" w:afterAutospacing="0"/>
              <w:textAlignment w:val="baseline"/>
              <w:rPr>
                <w:rStyle w:val="normaltextrun"/>
                <w:sz w:val="20"/>
                <w:szCs w:val="20"/>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2836"/>
              <w:gridCol w:w="2836"/>
            </w:tblGrid>
            <w:tr w:rsidR="00142C36" w14:paraId="3267BB7C" w14:textId="77777777" w:rsidTr="000106E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9623237" w14:textId="77777777" w:rsidR="00142C36" w:rsidRDefault="00142C36" w:rsidP="000106EF">
                  <w:pPr>
                    <w:pStyle w:val="TAH"/>
                    <w:rPr>
                      <w:lang w:val="sv-SE" w:eastAsia="en-GB"/>
                    </w:rPr>
                  </w:pPr>
                  <w:r>
                    <w:rPr>
                      <w:lang w:val="sv-SE"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372D20DA" w14:textId="77777777" w:rsidR="00142C36" w:rsidRDefault="00142C36" w:rsidP="000106EF">
                  <w:pPr>
                    <w:pStyle w:val="TAH"/>
                    <w:rPr>
                      <w:lang w:val="sv-SE" w:eastAsia="en-GB"/>
                    </w:rPr>
                  </w:pPr>
                  <w:r>
                    <w:rPr>
                      <w:lang w:val="sv-SE"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9521FDD" w14:textId="77777777" w:rsidR="00142C36" w:rsidRDefault="00142C36" w:rsidP="000106EF">
                  <w:pPr>
                    <w:pStyle w:val="TAH"/>
                    <w:rPr>
                      <w:lang w:val="sv-SE" w:eastAsia="en-GB"/>
                    </w:rPr>
                  </w:pPr>
                  <w:r>
                    <w:rPr>
                      <w:lang w:val="sv-SE"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E9D44DE" w14:textId="77777777" w:rsidR="00142C36" w:rsidRDefault="00142C36" w:rsidP="000106EF">
                  <w:pPr>
                    <w:pStyle w:val="TAH"/>
                    <w:rPr>
                      <w:lang w:val="sv-SE" w:eastAsia="en-GB"/>
                    </w:rPr>
                  </w:pPr>
                  <w:r>
                    <w:rPr>
                      <w:lang w:val="sv-SE" w:eastAsia="en-GB"/>
                    </w:rPr>
                    <w:t>At expiry</w:t>
                  </w:r>
                </w:p>
              </w:tc>
            </w:tr>
            <w:tr w:rsidR="00142C36" w14:paraId="41616273" w14:textId="77777777" w:rsidTr="000106E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0905EC9" w14:textId="77777777" w:rsidR="00142C36" w:rsidRDefault="00142C36" w:rsidP="000106EF">
                  <w:pPr>
                    <w:pStyle w:val="TAH"/>
                    <w:rPr>
                      <w:lang w:val="sv-SE" w:eastAsia="en-GB"/>
                    </w:rPr>
                  </w:pPr>
                  <w:r>
                    <w:rPr>
                      <w:lang w:val="sv-SE"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4D911D96" w14:textId="77777777" w:rsidR="00142C36" w:rsidRPr="005E3E92" w:rsidRDefault="00142C36" w:rsidP="000106EF">
                  <w:pPr>
                    <w:pStyle w:val="TAH"/>
                    <w:rPr>
                      <w:lang w:val="sv-SE" w:eastAsia="en-GB"/>
                    </w:rPr>
                  </w:pPr>
                  <w:r w:rsidRPr="005E3E92">
                    <w:rPr>
                      <w:lang w:val="sv-SE" w:eastAsia="en-GB"/>
                    </w:rPr>
                    <w:t xml:space="preserve">Start or restart </w:t>
                  </w:r>
                  <w:r w:rsidRPr="005E3E92">
                    <w:rPr>
                      <w:highlight w:val="yellow"/>
                      <w:lang w:val="sv-SE" w:eastAsia="en-GB"/>
                    </w:rPr>
                    <w:t>from the subframe indicated by epochTime</w:t>
                  </w:r>
                  <w:r w:rsidRPr="005E3E92">
                    <w:rPr>
                      <w:lang w:val="sv-SE" w:eastAsia="en-GB"/>
                    </w:rPr>
                    <w:t xml:space="preserve"> upon reception of SIB19</w:t>
                  </w:r>
                </w:p>
              </w:tc>
              <w:tc>
                <w:tcPr>
                  <w:tcW w:w="2836" w:type="dxa"/>
                  <w:tcBorders>
                    <w:top w:val="single" w:sz="4" w:space="0" w:color="auto"/>
                    <w:left w:val="single" w:sz="4" w:space="0" w:color="auto"/>
                    <w:bottom w:val="single" w:sz="4" w:space="0" w:color="auto"/>
                    <w:right w:val="single" w:sz="4" w:space="0" w:color="auto"/>
                  </w:tcBorders>
                  <w:hideMark/>
                </w:tcPr>
                <w:p w14:paraId="5328D1CB" w14:textId="77777777" w:rsidR="00142C36" w:rsidRPr="005E3E92" w:rsidRDefault="00142C36" w:rsidP="000106EF">
                  <w:pPr>
                    <w:pStyle w:val="TAH"/>
                    <w:rPr>
                      <w:lang w:val="sv-SE"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0052B77" w14:textId="77777777" w:rsidR="00142C36" w:rsidRPr="005E3E92" w:rsidRDefault="00142C36" w:rsidP="000106EF">
                  <w:pPr>
                    <w:pStyle w:val="TAH"/>
                    <w:rPr>
                      <w:lang w:val="sv-SE" w:eastAsia="en-GB"/>
                    </w:rPr>
                  </w:pPr>
                  <w:r w:rsidRPr="005E3E92">
                    <w:rPr>
                      <w:lang w:val="sv-SE" w:eastAsia="en-GB"/>
                    </w:rPr>
                    <w:t>Perform the actions as specified in 5.2.2.6.</w:t>
                  </w:r>
                </w:p>
              </w:tc>
            </w:tr>
          </w:tbl>
          <w:p w14:paraId="500AB709" w14:textId="77777777" w:rsidR="00142C36" w:rsidRPr="000B5AE5" w:rsidRDefault="00142C36" w:rsidP="000106EF">
            <w:pPr>
              <w:pStyle w:val="paragraph"/>
              <w:spacing w:before="0" w:beforeAutospacing="0" w:after="0" w:afterAutospacing="0"/>
              <w:textAlignment w:val="baseline"/>
              <w:rPr>
                <w:rStyle w:val="normaltextrun"/>
                <w:sz w:val="20"/>
                <w:szCs w:val="20"/>
              </w:rPr>
            </w:pPr>
          </w:p>
        </w:tc>
      </w:tr>
    </w:tbl>
    <w:p w14:paraId="4BFEC1D3" w14:textId="2CC043D6" w:rsidR="00142C36" w:rsidRDefault="00AC6678" w:rsidP="00142C36">
      <w:r>
        <w:br/>
      </w:r>
      <w:r w:rsidR="00142C36">
        <w:t>But for both cases, A and B, there is an additional HO delay causing very long interruption times at the HO:</w:t>
      </w:r>
    </w:p>
    <w:p w14:paraId="1143DF35" w14:textId="0F239C90" w:rsidR="00142C36" w:rsidRDefault="00142C36" w:rsidP="00142C36">
      <w:r>
        <w:t xml:space="preserve">For A) the UE has the epoch time and satellite assistance information but cannot apply it until the epoch time is reached, because the UE cannot attempt Random access without a validity timer running for that cell. </w:t>
      </w:r>
    </w:p>
    <w:p w14:paraId="2FC2F185" w14:textId="24FE7375" w:rsidR="00142C36" w:rsidRDefault="00142C36" w:rsidP="00142C36">
      <w:r>
        <w:t xml:space="preserve">For B) the delay is even longer than mentioned above. As depicted in </w:t>
      </w:r>
      <w:r>
        <w:fldChar w:fldCharType="begin"/>
      </w:r>
      <w:r>
        <w:instrText xml:space="preserve"> REF _Ref117853679 \h </w:instrText>
      </w:r>
      <w:r>
        <w:fldChar w:fldCharType="separate"/>
      </w:r>
      <w:r>
        <w:t xml:space="preserve">Figure </w:t>
      </w:r>
      <w:r>
        <w:rPr>
          <w:noProof/>
        </w:rPr>
        <w:t>1</w:t>
      </w:r>
      <w:r>
        <w:fldChar w:fldCharType="end"/>
      </w:r>
      <w:r>
        <w:t xml:space="preserve">, the UE must first acquire the SIB19 from the target cell and only then </w:t>
      </w:r>
      <w:r w:rsidR="008D77F9">
        <w:t xml:space="preserve">UE </w:t>
      </w:r>
      <w:r>
        <w:t xml:space="preserve">starts the waiting timer until the epoch time before initiating a RA attempt. </w:t>
      </w:r>
      <w:r w:rsidR="007E431A">
        <w:t>This is likely to be the case for several scenarios where CHO is applied.</w:t>
      </w:r>
    </w:p>
    <w:p w14:paraId="2ED27D6E" w14:textId="371B3BCB" w:rsidR="00B039C6" w:rsidRDefault="00B039C6" w:rsidP="00287130">
      <w:r>
        <w:t xml:space="preserve">In a </w:t>
      </w:r>
      <w:r w:rsidR="008D4C8B">
        <w:t>worst</w:t>
      </w:r>
      <w:r>
        <w:t xml:space="preserve"> case scenario, the epoch time acquired by the UE has already passed, and the HO delay is further increased, as the UE needs to acquire a new valid </w:t>
      </w:r>
      <w:r w:rsidR="00C768F8">
        <w:t xml:space="preserve">ephemeris </w:t>
      </w:r>
      <w:r>
        <w:t xml:space="preserve">information. </w:t>
      </w:r>
    </w:p>
    <w:p w14:paraId="30E8EF09" w14:textId="7208766A" w:rsidR="0070374F" w:rsidRDefault="00BA5CC0" w:rsidP="00147174">
      <w:pPr>
        <w:jc w:val="center"/>
      </w:pPr>
      <w:r w:rsidRPr="00BA5CC0">
        <w:rPr>
          <w:noProof/>
        </w:rPr>
        <w:drawing>
          <wp:inline distT="0" distB="0" distL="0" distR="0" wp14:anchorId="7087645C" wp14:editId="02B41852">
            <wp:extent cx="3803234" cy="3918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04902" cy="3920576"/>
                    </a:xfrm>
                    <a:prstGeom prst="rect">
                      <a:avLst/>
                    </a:prstGeom>
                    <a:noFill/>
                    <a:ln>
                      <a:noFill/>
                    </a:ln>
                  </pic:spPr>
                </pic:pic>
              </a:graphicData>
            </a:graphic>
          </wp:inline>
        </w:drawing>
      </w:r>
    </w:p>
    <w:p w14:paraId="478B4431" w14:textId="47F8F9F8" w:rsidR="00147174" w:rsidRDefault="00147174" w:rsidP="009D116C">
      <w:pPr>
        <w:pStyle w:val="Caption"/>
        <w:jc w:val="center"/>
      </w:pPr>
      <w:bookmarkStart w:id="0" w:name="_Ref117853679"/>
      <w:r>
        <w:t xml:space="preserve">Figure </w:t>
      </w:r>
      <w:r w:rsidR="00423A3D">
        <w:fldChar w:fldCharType="begin"/>
      </w:r>
      <w:r w:rsidR="00423A3D">
        <w:instrText xml:space="preserve"> SEQ Figure \* ARABIC </w:instrText>
      </w:r>
      <w:r w:rsidR="00423A3D">
        <w:fldChar w:fldCharType="separate"/>
      </w:r>
      <w:r>
        <w:rPr>
          <w:noProof/>
        </w:rPr>
        <w:t>1</w:t>
      </w:r>
      <w:r w:rsidR="00423A3D">
        <w:rPr>
          <w:noProof/>
        </w:rPr>
        <w:fldChar w:fldCharType="end"/>
      </w:r>
      <w:bookmarkEnd w:id="0"/>
      <w:r>
        <w:t xml:space="preserve"> </w:t>
      </w:r>
      <w:r w:rsidR="009D116C">
        <w:t>Illustration of procedure when no backwards propagation of T430 and no reduced T430 is allowed</w:t>
      </w:r>
    </w:p>
    <w:p w14:paraId="4B358EC3" w14:textId="60E99C81" w:rsidR="00287130" w:rsidRPr="00943BAB" w:rsidRDefault="00943BAB" w:rsidP="00287130">
      <w:pPr>
        <w:rPr>
          <w:b/>
          <w:bCs/>
        </w:rPr>
      </w:pPr>
      <w:r>
        <w:rPr>
          <w:b/>
          <w:bCs/>
        </w:rPr>
        <w:t xml:space="preserve">Proposal 1: RAN2 to confirm this </w:t>
      </w:r>
      <w:r w:rsidR="00C70781">
        <w:rPr>
          <w:b/>
          <w:bCs/>
        </w:rPr>
        <w:t>e</w:t>
      </w:r>
      <w:r w:rsidR="00AF5EF4">
        <w:rPr>
          <w:b/>
          <w:bCs/>
        </w:rPr>
        <w:t>xcessive delay</w:t>
      </w:r>
      <w:r w:rsidR="00C70781">
        <w:rPr>
          <w:b/>
          <w:bCs/>
        </w:rPr>
        <w:t xml:space="preserve">-prone </w:t>
      </w:r>
      <w:r>
        <w:rPr>
          <w:b/>
          <w:bCs/>
        </w:rPr>
        <w:t>behaviour if no backwards propagation of T430 and no reduced T430 is allowed.</w:t>
      </w:r>
    </w:p>
    <w:p w14:paraId="7C40A987" w14:textId="77777777" w:rsidR="00943BAB" w:rsidRDefault="00943BAB" w:rsidP="00287130"/>
    <w:p w14:paraId="326D3F57" w14:textId="582A8F3E" w:rsidR="00287130" w:rsidRDefault="00287130" w:rsidP="00287130">
      <w:pPr>
        <w:pStyle w:val="Heading2"/>
      </w:pPr>
      <w:r>
        <w:lastRenderedPageBreak/>
        <w:t>2</w:t>
      </w:r>
      <w:r w:rsidRPr="006E13D1">
        <w:t>.</w:t>
      </w:r>
      <w:r w:rsidR="0070374F">
        <w:t>2</w:t>
      </w:r>
      <w:r w:rsidRPr="006E13D1">
        <w:tab/>
      </w:r>
      <w:r w:rsidR="007E431A">
        <w:t>Advantages of allowing a “reduced” T430</w:t>
      </w:r>
    </w:p>
    <w:p w14:paraId="3BE39640" w14:textId="73C62FDC" w:rsidR="00B039C6" w:rsidRDefault="00B039C6" w:rsidP="0097611F">
      <w:r>
        <w:t xml:space="preserve">The advantage of </w:t>
      </w:r>
      <w:r w:rsidR="00AF5EF4">
        <w:t>using</w:t>
      </w:r>
      <w:r>
        <w:t xml:space="preserve"> reduced T430 is to avoid the impact observed by the UE when the epoch time has already passed by the time the HO execution is reached.</w:t>
      </w:r>
    </w:p>
    <w:p w14:paraId="7DC593E3" w14:textId="16F0D038" w:rsidR="0097611F" w:rsidRDefault="007E431A" w:rsidP="0097611F">
      <w:r>
        <w:t xml:space="preserve">To explain the advantage of allowing a late initiation of the T430 (i.e. a reduced T430) we address the scenario B) on the previous section.  </w:t>
      </w:r>
      <w:r w:rsidR="0097611F">
        <w:t>The procedure during handover for this case can be seen in</w:t>
      </w:r>
      <w:r w:rsidR="00A824CA">
        <w:t xml:space="preserve"> </w:t>
      </w:r>
      <w:r w:rsidR="00A824CA">
        <w:fldChar w:fldCharType="begin"/>
      </w:r>
      <w:r w:rsidR="00A824CA">
        <w:instrText xml:space="preserve"> REF _Ref117854487 \h </w:instrText>
      </w:r>
      <w:r w:rsidR="00A824CA">
        <w:fldChar w:fldCharType="separate"/>
      </w:r>
      <w:r w:rsidR="00A824CA">
        <w:t xml:space="preserve">Figure </w:t>
      </w:r>
      <w:r w:rsidR="00A824CA">
        <w:rPr>
          <w:noProof/>
        </w:rPr>
        <w:t>2</w:t>
      </w:r>
      <w:r w:rsidR="00A824CA">
        <w:fldChar w:fldCharType="end"/>
      </w:r>
      <w:r w:rsidR="0097611F">
        <w:t xml:space="preserve"> , </w:t>
      </w:r>
      <w:r>
        <w:t>and is described</w:t>
      </w:r>
      <w:r w:rsidR="0097611F">
        <w:t xml:space="preserve"> as follows:</w:t>
      </w:r>
    </w:p>
    <w:p w14:paraId="1FC76719" w14:textId="4FB67234" w:rsidR="0097611F" w:rsidRPr="00DF7057" w:rsidRDefault="0097611F" w:rsidP="0097611F">
      <w:pPr>
        <w:pStyle w:val="ListParagraph"/>
        <w:numPr>
          <w:ilvl w:val="0"/>
          <w:numId w:val="14"/>
        </w:numPr>
      </w:pPr>
      <w:r w:rsidRPr="00DF7057">
        <w:t xml:space="preserve">The UE </w:t>
      </w:r>
      <w:r w:rsidR="00217CBA">
        <w:t xml:space="preserve">proactively </w:t>
      </w:r>
      <w:r w:rsidR="007E431A">
        <w:t xml:space="preserve">acquires the </w:t>
      </w:r>
      <w:r w:rsidRPr="00DF7057">
        <w:t>SIB19 of the target cell</w:t>
      </w:r>
      <w:r w:rsidR="007E431A">
        <w:t xml:space="preserve"> and</w:t>
      </w:r>
      <w:r w:rsidR="00BC5DDC">
        <w:t xml:space="preserve"> store it together with</w:t>
      </w:r>
      <w:r w:rsidR="00EE38CC" w:rsidRPr="00DF7057">
        <w:t xml:space="preserve"> </w:t>
      </w:r>
      <w:r w:rsidRPr="00DF7057">
        <w:t>the related epoch time</w:t>
      </w:r>
      <w:r w:rsidR="007E431A">
        <w:t xml:space="preserve"> (</w:t>
      </w:r>
      <w:r w:rsidR="00217CBA">
        <w:t>v</w:t>
      </w:r>
      <w:r w:rsidR="007E431A">
        <w:t>alid for both scenarios A and B)</w:t>
      </w:r>
      <w:r w:rsidR="006464DE">
        <w:t>.</w:t>
      </w:r>
    </w:p>
    <w:p w14:paraId="3FCAF8D5" w14:textId="497588CC" w:rsidR="0097611F" w:rsidRPr="00DF7057" w:rsidRDefault="0000796C" w:rsidP="0000796C">
      <w:pPr>
        <w:pStyle w:val="ListParagraph"/>
        <w:numPr>
          <w:ilvl w:val="0"/>
          <w:numId w:val="14"/>
        </w:numPr>
      </w:pPr>
      <w:r w:rsidRPr="00DF7057">
        <w:t xml:space="preserve">When the handover command is received the </w:t>
      </w:r>
      <w:r w:rsidR="0097611F" w:rsidRPr="00DF7057">
        <w:t xml:space="preserve">UE </w:t>
      </w:r>
      <w:r w:rsidR="007E431A">
        <w:t>processes the information, and assuming the ephemeris information is still valid, i.e., the HO event happens between the time between the epoch time and the epoch time + validity timer, the UE initiates the T430. This enables the UE to</w:t>
      </w:r>
      <w:r w:rsidR="0097611F" w:rsidRPr="00DF7057">
        <w:t xml:space="preserve"> perform RACH access to the target cell at the next opportunity.</w:t>
      </w:r>
      <w:r w:rsidR="0089762F" w:rsidRPr="00DF7057">
        <w:t xml:space="preserve"> </w:t>
      </w:r>
      <w:r w:rsidR="007E431A">
        <w:t>In this case the duration of T430 is reduced to the</w:t>
      </w:r>
      <w:r w:rsidR="00174649" w:rsidRPr="00DF7057">
        <w:t xml:space="preserve"> remaining time based </w:t>
      </w:r>
      <w:r w:rsidR="007E431A">
        <w:t xml:space="preserve">to reach the epoch time + validity timer. </w:t>
      </w:r>
    </w:p>
    <w:p w14:paraId="124F1667" w14:textId="590835C3" w:rsidR="0070374F" w:rsidRDefault="007E431A" w:rsidP="0070374F">
      <w:r>
        <w:t xml:space="preserve">The main advantage of this solution is that the </w:t>
      </w:r>
      <w:r w:rsidR="007D4F0A">
        <w:t>h</w:t>
      </w:r>
      <w:r>
        <w:t xml:space="preserve">andover </w:t>
      </w:r>
      <w:r w:rsidR="007D4F0A">
        <w:t>d</w:t>
      </w:r>
      <w:r>
        <w:t>elay and the interruption of the user plane data may be significantly reduced.</w:t>
      </w:r>
    </w:p>
    <w:p w14:paraId="52C634F4" w14:textId="1E78C5A9" w:rsidR="0070374F" w:rsidRDefault="00BA24F0" w:rsidP="00BA24F0">
      <w:pPr>
        <w:jc w:val="center"/>
      </w:pPr>
      <w:r w:rsidRPr="00BA24F0">
        <w:rPr>
          <w:noProof/>
        </w:rPr>
        <w:drawing>
          <wp:inline distT="0" distB="0" distL="0" distR="0" wp14:anchorId="0A3A3FE8" wp14:editId="74462D48">
            <wp:extent cx="4197112" cy="39543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00978" cy="3958035"/>
                    </a:xfrm>
                    <a:prstGeom prst="rect">
                      <a:avLst/>
                    </a:prstGeom>
                    <a:noFill/>
                    <a:ln>
                      <a:noFill/>
                    </a:ln>
                  </pic:spPr>
                </pic:pic>
              </a:graphicData>
            </a:graphic>
          </wp:inline>
        </w:drawing>
      </w:r>
    </w:p>
    <w:p w14:paraId="2229F3C3" w14:textId="497555EE" w:rsidR="0097611F" w:rsidRDefault="0097611F" w:rsidP="0097611F">
      <w:pPr>
        <w:pStyle w:val="Caption"/>
        <w:jc w:val="center"/>
      </w:pPr>
      <w:bookmarkStart w:id="1" w:name="_Ref117854487"/>
      <w:r>
        <w:t xml:space="preserve">Figure </w:t>
      </w:r>
      <w:r>
        <w:fldChar w:fldCharType="begin"/>
      </w:r>
      <w:r>
        <w:instrText xml:space="preserve"> SEQ Figure \* ARABIC </w:instrText>
      </w:r>
      <w:r>
        <w:fldChar w:fldCharType="separate"/>
      </w:r>
      <w:r>
        <w:rPr>
          <w:noProof/>
        </w:rPr>
        <w:t>2</w:t>
      </w:r>
      <w:r>
        <w:fldChar w:fldCharType="end"/>
      </w:r>
      <w:bookmarkEnd w:id="1"/>
      <w:r>
        <w:t xml:space="preserve"> Illustration of procedure when reduced T430 is allowed</w:t>
      </w:r>
    </w:p>
    <w:p w14:paraId="6DBBA8F0" w14:textId="2B034E96" w:rsidR="00866D55" w:rsidRPr="00943BAB" w:rsidRDefault="00866D55" w:rsidP="00866D55">
      <w:pPr>
        <w:rPr>
          <w:b/>
          <w:bCs/>
        </w:rPr>
      </w:pPr>
      <w:r>
        <w:rPr>
          <w:b/>
          <w:bCs/>
        </w:rPr>
        <w:t xml:space="preserve">Proposal 2: RAN2 to confirm </w:t>
      </w:r>
      <w:r w:rsidR="007E431A">
        <w:rPr>
          <w:b/>
          <w:bCs/>
        </w:rPr>
        <w:t>that the UE may reduce T430 and initiate it after epoch time, while the information is still valid.</w:t>
      </w:r>
    </w:p>
    <w:p w14:paraId="4BBD9359" w14:textId="24043236" w:rsidR="00866D55" w:rsidRPr="00943BAB" w:rsidRDefault="00866D55" w:rsidP="00866D55">
      <w:pPr>
        <w:rPr>
          <w:b/>
          <w:bCs/>
        </w:rPr>
      </w:pPr>
      <w:r>
        <w:rPr>
          <w:b/>
          <w:bCs/>
        </w:rPr>
        <w:t>Proposal 3: RAN2 to confirm reduced T430 is allowed</w:t>
      </w:r>
      <w:r w:rsidR="002528AE">
        <w:rPr>
          <w:b/>
          <w:bCs/>
        </w:rPr>
        <w:t xml:space="preserve"> and update the corresponding text in 38.331</w:t>
      </w:r>
      <w:r>
        <w:rPr>
          <w:b/>
          <w:bCs/>
        </w:rPr>
        <w:t>.</w:t>
      </w:r>
    </w:p>
    <w:p w14:paraId="5F62AD12" w14:textId="38EA94AD" w:rsidR="0070374F" w:rsidRDefault="0070374F" w:rsidP="0070374F">
      <w:pPr>
        <w:pStyle w:val="Heading2"/>
      </w:pPr>
      <w:bookmarkStart w:id="2" w:name="_Hlk118285786"/>
      <w:r>
        <w:t>2</w:t>
      </w:r>
      <w:r w:rsidRPr="006E13D1">
        <w:t>.</w:t>
      </w:r>
      <w:r>
        <w:t>3</w:t>
      </w:r>
      <w:r w:rsidRPr="006E13D1">
        <w:tab/>
      </w:r>
      <w:r w:rsidR="007E431A">
        <w:t xml:space="preserve">Advantages of allowing an increased </w:t>
      </w:r>
      <w:bookmarkEnd w:id="2"/>
      <w:r>
        <w:t>T430</w:t>
      </w:r>
    </w:p>
    <w:p w14:paraId="4451CFDD" w14:textId="2CE48DBA" w:rsidR="00B039C6" w:rsidRDefault="00B039C6" w:rsidP="007E431A">
      <w:r>
        <w:t xml:space="preserve">The advantage of allowing an increased version of T430 is to avoid the waiting times between the triggering of the HO execution and the epoch time. </w:t>
      </w:r>
    </w:p>
    <w:p w14:paraId="25752948" w14:textId="6EF0B58A" w:rsidR="007E431A" w:rsidRDefault="007E431A" w:rsidP="007E431A">
      <w:r>
        <w:t>To explain the advantage of allowing an early initiation of the T430 (i.e. an increased T430) we address the scenario B) on the previous section. The procedure during handover for this case can be seen in</w:t>
      </w:r>
      <w:r w:rsidR="00365F92">
        <w:t xml:space="preserve"> </w:t>
      </w:r>
      <w:r w:rsidR="00365F92">
        <w:fldChar w:fldCharType="begin"/>
      </w:r>
      <w:r w:rsidR="00365F92">
        <w:instrText xml:space="preserve"> REF _Ref117856499 \h </w:instrText>
      </w:r>
      <w:r w:rsidR="00365F92">
        <w:fldChar w:fldCharType="separate"/>
      </w:r>
      <w:r w:rsidR="00365F92">
        <w:t xml:space="preserve">Figure </w:t>
      </w:r>
      <w:r w:rsidR="00365F92">
        <w:rPr>
          <w:noProof/>
        </w:rPr>
        <w:t>3</w:t>
      </w:r>
      <w:r w:rsidR="00365F92">
        <w:fldChar w:fldCharType="end"/>
      </w:r>
      <w:r>
        <w:t>, and is described as follows:</w:t>
      </w:r>
    </w:p>
    <w:p w14:paraId="24A6937F" w14:textId="77777777" w:rsidR="007E431A" w:rsidRDefault="007E431A" w:rsidP="00F94B0E"/>
    <w:p w14:paraId="25C6A5CD" w14:textId="612A9D59" w:rsidR="00F94B0E" w:rsidRPr="00697A15" w:rsidRDefault="00F94B0E" w:rsidP="00F94B0E">
      <w:pPr>
        <w:pStyle w:val="ListParagraph"/>
        <w:numPr>
          <w:ilvl w:val="0"/>
          <w:numId w:val="14"/>
        </w:numPr>
      </w:pPr>
      <w:r w:rsidRPr="00697A15">
        <w:t xml:space="preserve">The UE </w:t>
      </w:r>
      <w:r w:rsidR="00B039C6">
        <w:t>acquires</w:t>
      </w:r>
      <w:r w:rsidRPr="00697A15">
        <w:t xml:space="preserve"> the SIB19 of the target cell</w:t>
      </w:r>
      <w:r w:rsidR="00B039C6">
        <w:t>. The UE identifies that</w:t>
      </w:r>
      <w:r w:rsidRPr="00697A15">
        <w:t xml:space="preserve"> the related epoch time</w:t>
      </w:r>
      <w:r w:rsidR="000D383A" w:rsidRPr="00697A15">
        <w:t xml:space="preserve"> </w:t>
      </w:r>
      <w:r w:rsidR="00B039C6">
        <w:t>is</w:t>
      </w:r>
      <w:r w:rsidR="000D383A" w:rsidRPr="00697A15">
        <w:t xml:space="preserve"> further ahead in the future</w:t>
      </w:r>
      <w:r w:rsidRPr="00697A15">
        <w:t>.</w:t>
      </w:r>
    </w:p>
    <w:p w14:paraId="5C4A9247" w14:textId="04BF07A9" w:rsidR="00F94B0E" w:rsidRPr="00697A15" w:rsidRDefault="00F94B0E" w:rsidP="00F94B0E">
      <w:pPr>
        <w:pStyle w:val="ListParagraph"/>
        <w:numPr>
          <w:ilvl w:val="0"/>
          <w:numId w:val="14"/>
        </w:numPr>
      </w:pPr>
      <w:r w:rsidRPr="00697A15">
        <w:t>When the handover command is received</w:t>
      </w:r>
      <w:r w:rsidR="00B039C6">
        <w:t>, by using the symmetrical properties of the orbit around the ephemeris,</w:t>
      </w:r>
      <w:r w:rsidRPr="00697A15">
        <w:t xml:space="preserve"> the UE </w:t>
      </w:r>
      <w:r w:rsidR="00B039C6">
        <w:t>is enabled to</w:t>
      </w:r>
      <w:r w:rsidRPr="00697A15">
        <w:t xml:space="preserve"> perform RACH access to the target cell at the next opportunity. Just before it will apply the assistance information and </w:t>
      </w:r>
      <w:r w:rsidR="00B039C6">
        <w:t>start the</w:t>
      </w:r>
      <w:r w:rsidRPr="00697A15">
        <w:t xml:space="preserve"> T430 </w:t>
      </w:r>
      <w:r w:rsidR="000E3DE8" w:rsidRPr="00697A15">
        <w:t xml:space="preserve">by propagating </w:t>
      </w:r>
      <w:r w:rsidR="00B039C6">
        <w:t>the ephemeris information backwards. In this case the T430 timer can be increased by an interval equal to the present point in time and the epoch time, as long as this interval is no</w:t>
      </w:r>
      <w:r w:rsidR="004273F5">
        <w:t>t</w:t>
      </w:r>
      <w:r w:rsidR="00B039C6">
        <w:t xml:space="preserve"> longer than the total duration of the validity timer. </w:t>
      </w:r>
    </w:p>
    <w:p w14:paraId="33DA974B" w14:textId="2F958CA0" w:rsidR="00F94B0E" w:rsidRDefault="000E3DE8" w:rsidP="00F94B0E">
      <w:r w:rsidRPr="00697A15">
        <w:t>In this solution it pays itself to have the epoch time in the future</w:t>
      </w:r>
      <w:r w:rsidR="005A25E9" w:rsidRPr="00697A15">
        <w:t xml:space="preserve">, separated from the SIB19 itself. </w:t>
      </w:r>
      <w:r w:rsidR="00F94B0E" w:rsidRPr="00697A15">
        <w:t xml:space="preserve">Advantage of this solution is the </w:t>
      </w:r>
      <w:r w:rsidR="005A25E9" w:rsidRPr="00697A15">
        <w:t>SIB19 can be sen</w:t>
      </w:r>
      <w:r w:rsidR="004750F7">
        <w:t>t</w:t>
      </w:r>
      <w:r w:rsidR="005A25E9" w:rsidRPr="00697A15">
        <w:t xml:space="preserve"> less often</w:t>
      </w:r>
      <w:r w:rsidR="00697A15" w:rsidRPr="00697A15">
        <w:t>, while keeping the small handover delay, as in section 2.2</w:t>
      </w:r>
      <w:r w:rsidR="00F94B0E" w:rsidRPr="00697A15">
        <w:t>.</w:t>
      </w:r>
      <w:r w:rsidR="00F94B0E">
        <w:t xml:space="preserve"> </w:t>
      </w:r>
    </w:p>
    <w:p w14:paraId="7DC51920" w14:textId="77777777" w:rsidR="00201CE0" w:rsidRPr="00201CE0" w:rsidRDefault="00201CE0" w:rsidP="00201CE0"/>
    <w:p w14:paraId="4A8A346D" w14:textId="4CCE8A83" w:rsidR="00287130" w:rsidRDefault="00FF4C78" w:rsidP="00FF4C78">
      <w:pPr>
        <w:jc w:val="center"/>
      </w:pPr>
      <w:r w:rsidRPr="00FF4C78">
        <w:rPr>
          <w:noProof/>
        </w:rPr>
        <w:drawing>
          <wp:inline distT="0" distB="0" distL="0" distR="0" wp14:anchorId="3DF79437" wp14:editId="767DE936">
            <wp:extent cx="3987079" cy="36041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0904" cy="3607619"/>
                    </a:xfrm>
                    <a:prstGeom prst="rect">
                      <a:avLst/>
                    </a:prstGeom>
                    <a:noFill/>
                    <a:ln>
                      <a:noFill/>
                    </a:ln>
                  </pic:spPr>
                </pic:pic>
              </a:graphicData>
            </a:graphic>
          </wp:inline>
        </w:drawing>
      </w:r>
    </w:p>
    <w:p w14:paraId="2CB285DF" w14:textId="2DEA55F5" w:rsidR="00FF4C78" w:rsidRDefault="00FF4C78" w:rsidP="00FF4C78">
      <w:pPr>
        <w:pStyle w:val="Caption"/>
        <w:jc w:val="center"/>
      </w:pPr>
      <w:bookmarkStart w:id="3" w:name="_Ref117856499"/>
      <w:r>
        <w:t xml:space="preserve">Figure </w:t>
      </w:r>
      <w:r>
        <w:fldChar w:fldCharType="begin"/>
      </w:r>
      <w:r>
        <w:instrText xml:space="preserve"> SEQ Figure \* ARABIC </w:instrText>
      </w:r>
      <w:r>
        <w:fldChar w:fldCharType="separate"/>
      </w:r>
      <w:r>
        <w:rPr>
          <w:noProof/>
        </w:rPr>
        <w:t>3</w:t>
      </w:r>
      <w:r>
        <w:fldChar w:fldCharType="end"/>
      </w:r>
      <w:bookmarkEnd w:id="3"/>
      <w:r>
        <w:t xml:space="preserve"> Illustration of procedure when </w:t>
      </w:r>
      <w:r w:rsidR="00201CE0">
        <w:t>backward propagation of</w:t>
      </w:r>
      <w:r>
        <w:t xml:space="preserve"> T430 is allowed</w:t>
      </w:r>
    </w:p>
    <w:p w14:paraId="3A20AF1D" w14:textId="2D21EC36" w:rsidR="00FF4C78" w:rsidRDefault="00F43015" w:rsidP="00287130">
      <w:r>
        <w:rPr>
          <w:b/>
          <w:bCs/>
        </w:rPr>
        <w:t>Proposal 4: RAN2 to confirm th</w:t>
      </w:r>
      <w:r w:rsidR="004750F7">
        <w:rPr>
          <w:b/>
          <w:bCs/>
        </w:rPr>
        <w:t>e</w:t>
      </w:r>
      <w:r>
        <w:rPr>
          <w:b/>
          <w:bCs/>
        </w:rPr>
        <w:t xml:space="preserve"> behaviour </w:t>
      </w:r>
      <w:r w:rsidR="00D457A1">
        <w:rPr>
          <w:b/>
          <w:bCs/>
        </w:rPr>
        <w:t>o</w:t>
      </w:r>
      <w:r>
        <w:rPr>
          <w:b/>
          <w:bCs/>
        </w:rPr>
        <w:t xml:space="preserve">f </w:t>
      </w:r>
      <w:r w:rsidR="00D457A1">
        <w:rPr>
          <w:b/>
          <w:bCs/>
        </w:rPr>
        <w:t>increased</w:t>
      </w:r>
      <w:r>
        <w:rPr>
          <w:b/>
          <w:bCs/>
        </w:rPr>
        <w:t xml:space="preserve"> T430 is allowed.</w:t>
      </w:r>
    </w:p>
    <w:p w14:paraId="6712F74C" w14:textId="6A0DC481" w:rsidR="002107F7" w:rsidRDefault="002107F7" w:rsidP="002107F7">
      <w:pPr>
        <w:pStyle w:val="Heading2"/>
      </w:pPr>
      <w:r>
        <w:t>2</w:t>
      </w:r>
      <w:r w:rsidRPr="006E13D1">
        <w:t>.</w:t>
      </w:r>
      <w:r w:rsidR="009200BA">
        <w:t>4</w:t>
      </w:r>
      <w:r w:rsidRPr="006E13D1">
        <w:tab/>
      </w:r>
      <w:r>
        <w:t>Implicit epoch time</w:t>
      </w:r>
      <w:r w:rsidR="005F5036">
        <w:t xml:space="preserve"> indication</w:t>
      </w:r>
    </w:p>
    <w:p w14:paraId="5DA6178B" w14:textId="3AC67326" w:rsidR="002107F7" w:rsidRDefault="005F5036" w:rsidP="002107F7">
      <w:r>
        <w:t xml:space="preserve">In the </w:t>
      </w:r>
      <w:r w:rsidR="00CB3BEF">
        <w:t xml:space="preserve">RRC description of the satellite assistance information elements, the field describing the epoch time indicates that </w:t>
      </w:r>
      <w:r w:rsidR="000A260C">
        <w:t xml:space="preserve">it can be explicitly or implicitly indicated. When the epoch time is implicitly indicated, </w:t>
      </w:r>
      <w:r w:rsidR="00F61B76">
        <w:t xml:space="preserve">it corresponds to the end of the current SI-Window where SIB19 was transmitted. </w:t>
      </w:r>
    </w:p>
    <w:tbl>
      <w:tblPr>
        <w:tblStyle w:val="TableGrid"/>
        <w:tblW w:w="0" w:type="auto"/>
        <w:tblLook w:val="04A0" w:firstRow="1" w:lastRow="0" w:firstColumn="1" w:lastColumn="0" w:noHBand="0" w:noVBand="1"/>
      </w:tblPr>
      <w:tblGrid>
        <w:gridCol w:w="9631"/>
      </w:tblGrid>
      <w:tr w:rsidR="00F2790C" w14:paraId="3E9C1C71" w14:textId="77777777" w:rsidTr="00F2790C">
        <w:tc>
          <w:tcPr>
            <w:tcW w:w="9631" w:type="dxa"/>
          </w:tcPr>
          <w:p w14:paraId="10AF7E51" w14:textId="77777777" w:rsidR="00E77539" w:rsidRPr="00B827DD" w:rsidRDefault="00E77539" w:rsidP="00E77539">
            <w:pPr>
              <w:pStyle w:val="NormalWeb"/>
              <w:rPr>
                <w:rFonts w:ascii="Segoe UI" w:hAnsi="Segoe UI" w:cs="Segoe UI"/>
                <w:b/>
                <w:bCs/>
                <w:i/>
                <w:iCs/>
                <w:color w:val="242424"/>
                <w:sz w:val="18"/>
                <w:szCs w:val="18"/>
                <w:lang w:val="en-GB"/>
              </w:rPr>
            </w:pPr>
            <w:r w:rsidRPr="00B827DD">
              <w:rPr>
                <w:rFonts w:ascii="Segoe UI" w:hAnsi="Segoe UI" w:cs="Segoe UI"/>
                <w:b/>
                <w:i/>
                <w:color w:val="242424"/>
                <w:sz w:val="18"/>
                <w:szCs w:val="18"/>
              </w:rPr>
              <w:t>epochTime</w:t>
            </w:r>
          </w:p>
          <w:p w14:paraId="2BF3AF62" w14:textId="0346C960" w:rsidR="00F2790C" w:rsidRPr="00B827DD" w:rsidRDefault="00E77539" w:rsidP="00B827DD">
            <w:pPr>
              <w:pStyle w:val="NormalWeb"/>
              <w:rPr>
                <w:lang w:val="en-GB"/>
              </w:rPr>
            </w:pPr>
            <w:r w:rsidRPr="00B827DD">
              <w:rPr>
                <w:rFonts w:ascii="Segoe UI" w:hAnsi="Segoe UI" w:cs="Segoe UI"/>
                <w:color w:val="242424"/>
                <w:sz w:val="18"/>
                <w:szCs w:val="18"/>
              </w:rPr>
              <w:t>Indicate the epoch time for the NTN assistance information. When explicitly provided through SIB, or through dedicated signaling, EpochTime is the starting time of a DL sub-frame, indicated by a SFN and a sub-frame number signaled together with the assistance information. The reference point for epoch time of the serving satellite ephemeris and Common TA parameters is the uplink time synchronization reference point. </w:t>
            </w:r>
            <w:r w:rsidRPr="00B827DD">
              <w:rPr>
                <w:rFonts w:ascii="Segoe UI" w:hAnsi="Segoe UI" w:cs="Segoe UI"/>
                <w:color w:val="242424"/>
                <w:sz w:val="18"/>
                <w:szCs w:val="18"/>
                <w:highlight w:val="yellow"/>
              </w:rPr>
              <w:t>If this field is absent, the epoch time is the end of SI window where this SIB19 is scheduled.</w:t>
            </w:r>
            <w:r w:rsidRPr="00B827DD">
              <w:rPr>
                <w:rFonts w:ascii="Segoe UI" w:hAnsi="Segoe UI" w:cs="Segoe UI"/>
                <w:color w:val="242424"/>
                <w:sz w:val="18"/>
                <w:szCs w:val="18"/>
              </w:rPr>
              <w:t xml:space="preserve"> This field is mandatory present when provided in dedicated configuration. If this field is absent in ntn-Config provided via NTN-NeighCellConfig the UE uses epoch time from the serving satellite ephemeris, otherwise the field is based on the timing of the serving cell, </w:t>
            </w:r>
            <w:proofErr w:type="gramStart"/>
            <w:r w:rsidRPr="00B827DD">
              <w:rPr>
                <w:rFonts w:ascii="Segoe UI" w:hAnsi="Segoe UI" w:cs="Segoe UI"/>
                <w:color w:val="242424"/>
                <w:sz w:val="18"/>
                <w:szCs w:val="18"/>
              </w:rPr>
              <w:t>i.e.</w:t>
            </w:r>
            <w:proofErr w:type="gramEnd"/>
            <w:r w:rsidRPr="00B827DD">
              <w:rPr>
                <w:rFonts w:ascii="Segoe UI" w:hAnsi="Segoe UI" w:cs="Segoe UI"/>
                <w:color w:val="242424"/>
                <w:sz w:val="18"/>
                <w:szCs w:val="18"/>
              </w:rPr>
              <w:t xml:space="preserve"> the SFN and sub-frame number indicated in this field refers to the SFN and sub-frame of the serving cell. In case of handover, this field is based on the timing of the target cell, </w:t>
            </w:r>
            <w:proofErr w:type="gramStart"/>
            <w:r w:rsidRPr="00B827DD">
              <w:rPr>
                <w:rFonts w:ascii="Segoe UI" w:hAnsi="Segoe UI" w:cs="Segoe UI"/>
                <w:color w:val="242424"/>
                <w:sz w:val="18"/>
                <w:szCs w:val="18"/>
              </w:rPr>
              <w:t>i.e.</w:t>
            </w:r>
            <w:proofErr w:type="gramEnd"/>
            <w:r w:rsidRPr="00B827DD">
              <w:rPr>
                <w:rFonts w:ascii="Segoe UI" w:hAnsi="Segoe UI" w:cs="Segoe UI"/>
                <w:color w:val="242424"/>
                <w:sz w:val="18"/>
                <w:szCs w:val="18"/>
              </w:rPr>
              <w:t xml:space="preserve"> the SFN and sub-frame number indicated in this field refers to the SFN and sub-frame of the target cell. This field is excluded when determining changes in system information, </w:t>
            </w:r>
            <w:proofErr w:type="gramStart"/>
            <w:r w:rsidRPr="00B827DD">
              <w:rPr>
                <w:rFonts w:ascii="Segoe UI" w:hAnsi="Segoe UI" w:cs="Segoe UI"/>
                <w:color w:val="242424"/>
                <w:sz w:val="18"/>
                <w:szCs w:val="18"/>
              </w:rPr>
              <w:t>i.e.</w:t>
            </w:r>
            <w:proofErr w:type="gramEnd"/>
            <w:r w:rsidRPr="00B827DD">
              <w:rPr>
                <w:rFonts w:ascii="Segoe UI" w:hAnsi="Segoe UI" w:cs="Segoe UI"/>
                <w:color w:val="242424"/>
                <w:sz w:val="18"/>
                <w:szCs w:val="18"/>
              </w:rPr>
              <w:t xml:space="preserve"> changes </w:t>
            </w:r>
            <w:r w:rsidRPr="00B827DD">
              <w:rPr>
                <w:rFonts w:ascii="Segoe UI" w:hAnsi="Segoe UI" w:cs="Segoe UI"/>
                <w:color w:val="242424"/>
                <w:sz w:val="18"/>
                <w:szCs w:val="18"/>
              </w:rPr>
              <w:lastRenderedPageBreak/>
              <w:t>to epochTime should neither result in system information change notifications nor in a modification of valueTag in SIB1.</w:t>
            </w:r>
          </w:p>
        </w:tc>
      </w:tr>
    </w:tbl>
    <w:p w14:paraId="47E20FC7" w14:textId="19F08E51" w:rsidR="002107F7" w:rsidRPr="00287130" w:rsidRDefault="00A11D76" w:rsidP="002107F7">
      <w:r>
        <w:lastRenderedPageBreak/>
        <w:br/>
      </w:r>
      <w:r w:rsidR="00D32F06">
        <w:t xml:space="preserve">However, </w:t>
      </w:r>
      <w:r w:rsidR="00F41CF2">
        <w:t>this might be a problem</w:t>
      </w:r>
      <w:r w:rsidR="00DB6089">
        <w:t xml:space="preserve"> when </w:t>
      </w:r>
      <w:r w:rsidR="00A07828">
        <w:t xml:space="preserve">short SI-Windows are used or </w:t>
      </w:r>
      <w:r w:rsidR="00B21652">
        <w:t xml:space="preserve">when the SIB </w:t>
      </w:r>
      <w:r w:rsidR="006E05BD">
        <w:t xml:space="preserve">occasion being read by the UE is close to the edge of the SI-Window. </w:t>
      </w:r>
      <w:r w:rsidR="00670BFE">
        <w:t xml:space="preserve">This is depicted using a SI-Window of 5 ms as example in </w:t>
      </w:r>
      <w:r w:rsidR="00670BFE">
        <w:fldChar w:fldCharType="begin"/>
      </w:r>
      <w:r w:rsidR="00670BFE">
        <w:instrText xml:space="preserve"> REF _Ref118288690 \h </w:instrText>
      </w:r>
      <w:r w:rsidR="00670BFE">
        <w:fldChar w:fldCharType="separate"/>
      </w:r>
      <w:r w:rsidR="00670BFE">
        <w:t xml:space="preserve">Figure </w:t>
      </w:r>
      <w:r w:rsidR="00670BFE">
        <w:rPr>
          <w:noProof/>
        </w:rPr>
        <w:t>4</w:t>
      </w:r>
      <w:r w:rsidR="00670BFE">
        <w:fldChar w:fldCharType="end"/>
      </w:r>
      <w:r w:rsidR="00AC6AA3">
        <w:t xml:space="preserve">. There are 3 SIB19 occasions </w:t>
      </w:r>
      <w:r w:rsidR="003F4D0D">
        <w:t xml:space="preserve">within this window. The last one is too close to </w:t>
      </w:r>
      <w:r w:rsidR="00BF4E8D">
        <w:t xml:space="preserve">the edge of the SI-Window, and the UE might not be able to react in time to start the T430 </w:t>
      </w:r>
      <w:r w:rsidR="0054046F" w:rsidRPr="00B827DD">
        <w:rPr>
          <w:u w:val="single"/>
        </w:rPr>
        <w:t>at</w:t>
      </w:r>
      <w:r w:rsidR="00BF4E8D">
        <w:t xml:space="preserve"> epoch time. In fact, for this example, even the two first occasions might be </w:t>
      </w:r>
      <w:r w:rsidR="006A37BF">
        <w:t xml:space="preserve">out of </w:t>
      </w:r>
      <w:r w:rsidR="006D3379">
        <w:t xml:space="preserve">feasibility for UE processing intervals. </w:t>
      </w:r>
      <w:r w:rsidR="00176116">
        <w:t xml:space="preserve">As for all other RRC procedures, RAN2 </w:t>
      </w:r>
      <w:r w:rsidR="008E34C6">
        <w:t xml:space="preserve">needs to account for processing delays in the acquisition of satellite assistance information. </w:t>
      </w:r>
    </w:p>
    <w:p w14:paraId="25816DE4" w14:textId="77777777" w:rsidR="00287130" w:rsidRPr="00287130" w:rsidRDefault="00287130" w:rsidP="00287130"/>
    <w:p w14:paraId="75E4E590" w14:textId="5CC6F9D0" w:rsidR="006103D4" w:rsidRDefault="00670BFE" w:rsidP="00B827DD">
      <w:pPr>
        <w:keepNext/>
      </w:pPr>
      <w:r>
        <w:rPr>
          <w:noProof/>
        </w:rPr>
        <w:drawing>
          <wp:inline distT="0" distB="0" distL="0" distR="0" wp14:anchorId="7D160155" wp14:editId="02CD584D">
            <wp:extent cx="6248400" cy="282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6203" cy="2831262"/>
                    </a:xfrm>
                    <a:prstGeom prst="rect">
                      <a:avLst/>
                    </a:prstGeom>
                    <a:noFill/>
                  </pic:spPr>
                </pic:pic>
              </a:graphicData>
            </a:graphic>
          </wp:inline>
        </w:drawing>
      </w:r>
    </w:p>
    <w:p w14:paraId="4B14F958" w14:textId="1CC3890C" w:rsidR="008652A1" w:rsidRPr="00287130" w:rsidRDefault="006103D4" w:rsidP="006103D4">
      <w:pPr>
        <w:pStyle w:val="Caption"/>
      </w:pPr>
      <w:bookmarkStart w:id="4" w:name="_Ref118288690"/>
      <w:r>
        <w:t xml:space="preserve">Figure </w:t>
      </w:r>
      <w:r>
        <w:fldChar w:fldCharType="begin"/>
      </w:r>
      <w:r>
        <w:instrText xml:space="preserve"> SEQ Figure \* ARABIC </w:instrText>
      </w:r>
      <w:r>
        <w:fldChar w:fldCharType="separate"/>
      </w:r>
      <w:r>
        <w:rPr>
          <w:noProof/>
        </w:rPr>
        <w:t>4</w:t>
      </w:r>
      <w:r>
        <w:fldChar w:fldCharType="end"/>
      </w:r>
      <w:bookmarkEnd w:id="4"/>
      <w:r w:rsidR="00670BFE">
        <w:t xml:space="preserve"> Example of SIB19 transmissions with implicit indication of epoch time </w:t>
      </w:r>
      <w:r w:rsidR="00EA5473">
        <w:t xml:space="preserve">in a SI-Window of 5 ms. </w:t>
      </w:r>
    </w:p>
    <w:p w14:paraId="3E628291" w14:textId="0D055E6B" w:rsidR="008E34C6" w:rsidRPr="008E34C6" w:rsidRDefault="008E34C6">
      <w:r>
        <w:rPr>
          <w:b/>
          <w:bCs/>
        </w:rPr>
        <w:t xml:space="preserve">Proposal 5: RAN2 to account for processing delays </w:t>
      </w:r>
      <w:r w:rsidR="00610BA4">
        <w:rPr>
          <w:b/>
          <w:bCs/>
        </w:rPr>
        <w:t xml:space="preserve">in the acquisition of satellite assistance information in SIB19, and update the implicit indication of epoch time: “If this field is absent, the epoch time is the end of the SI window where this SIB19 is scheduled plus </w:t>
      </w:r>
      <w:r w:rsidR="00151A95">
        <w:rPr>
          <w:b/>
          <w:bCs/>
        </w:rPr>
        <w:t>UE</w:t>
      </w:r>
      <w:r w:rsidR="004E183A">
        <w:rPr>
          <w:b/>
          <w:bCs/>
        </w:rPr>
        <w:t xml:space="preserve"> processing interval</w:t>
      </w:r>
      <w:r w:rsidR="00411EFC">
        <w:rPr>
          <w:b/>
          <w:bCs/>
        </w:rPr>
        <w:t>”.</w:t>
      </w:r>
    </w:p>
    <w:p w14:paraId="69B7B8E6" w14:textId="6BA1CF4F" w:rsidR="009339CB" w:rsidRPr="006E13D1" w:rsidRDefault="005A13AB" w:rsidP="00DE6A68">
      <w:pPr>
        <w:pStyle w:val="Heading1"/>
      </w:pPr>
      <w:r>
        <w:t>3</w:t>
      </w:r>
      <w:r w:rsidR="009339CB" w:rsidRPr="006E13D1">
        <w:tab/>
      </w:r>
      <w:r w:rsidR="009339CB">
        <w:t>Conclusion</w:t>
      </w:r>
    </w:p>
    <w:p w14:paraId="6E24B0F4" w14:textId="19BE7ABD" w:rsidR="009339CB" w:rsidRPr="006E13D1" w:rsidRDefault="009339CB" w:rsidP="009339CB">
      <w:r>
        <w:t>This document has made the following observations</w:t>
      </w:r>
      <w:r w:rsidR="005F2708">
        <w:t xml:space="preserve"> and proposals</w:t>
      </w:r>
      <w:r>
        <w:t>:</w:t>
      </w:r>
    </w:p>
    <w:p w14:paraId="37502CA5" w14:textId="77777777" w:rsidR="00F35980" w:rsidRPr="00943BAB" w:rsidRDefault="00F35980" w:rsidP="00F35980">
      <w:pPr>
        <w:rPr>
          <w:b/>
          <w:bCs/>
        </w:rPr>
      </w:pPr>
      <w:r>
        <w:rPr>
          <w:b/>
          <w:bCs/>
        </w:rPr>
        <w:t>Proposal 1: RAN2 to confirm this excessive delay-prone behaviour if no backwards propagation of T430 and no reduced T430 is allowed.</w:t>
      </w:r>
    </w:p>
    <w:p w14:paraId="4CD08AA3" w14:textId="77777777" w:rsidR="00F35980" w:rsidRPr="00943BAB" w:rsidRDefault="00F35980" w:rsidP="00F35980">
      <w:pPr>
        <w:rPr>
          <w:b/>
          <w:bCs/>
        </w:rPr>
      </w:pPr>
      <w:r>
        <w:rPr>
          <w:b/>
          <w:bCs/>
        </w:rPr>
        <w:t>Proposal 2: RAN2 to confirm that the UE may reduce T430 and initiate it after epoch time, while the information is still valid.</w:t>
      </w:r>
    </w:p>
    <w:p w14:paraId="77637292" w14:textId="77777777" w:rsidR="00F35980" w:rsidRPr="00943BAB" w:rsidRDefault="00F35980" w:rsidP="00F35980">
      <w:pPr>
        <w:rPr>
          <w:b/>
          <w:bCs/>
        </w:rPr>
      </w:pPr>
      <w:r>
        <w:rPr>
          <w:b/>
          <w:bCs/>
        </w:rPr>
        <w:t>Proposal 3: RAN2 to confirm reduced T430 is allowed and update the corresponding text in 38.331.</w:t>
      </w:r>
    </w:p>
    <w:p w14:paraId="38ABF671" w14:textId="77777777" w:rsidR="00F35980" w:rsidRDefault="00F35980" w:rsidP="00F35980">
      <w:r>
        <w:rPr>
          <w:b/>
          <w:bCs/>
        </w:rPr>
        <w:t>Proposal 4: RAN2 to confirm the behaviour of increased T430 is allowed.</w:t>
      </w:r>
    </w:p>
    <w:p w14:paraId="7C7064CE" w14:textId="50672E7B" w:rsidR="00367DE9" w:rsidRPr="00F35980" w:rsidRDefault="00F35980" w:rsidP="00367DE9">
      <w:r>
        <w:rPr>
          <w:b/>
          <w:bCs/>
        </w:rPr>
        <w:t>Proposal 5: RAN2 to account for processing delays in the acquisition of satellite assistance information in SIB19, and update the implicit indication of epoch time: “If this field is absent, the epoch time is the end of the SI window where this SIB19 is scheduled plus UE processing interval”.</w:t>
      </w:r>
      <w:bookmarkStart w:id="5" w:name="_Toc116995849"/>
    </w:p>
    <w:p w14:paraId="7ED826BF" w14:textId="77777777" w:rsidR="00367DE9" w:rsidRPr="00EF698B" w:rsidRDefault="00367DE9" w:rsidP="00367DE9">
      <w:pPr>
        <w:pStyle w:val="RAN4H1"/>
        <w:numPr>
          <w:ilvl w:val="0"/>
          <w:numId w:val="0"/>
        </w:numPr>
        <w:ind w:left="360" w:hanging="360"/>
        <w:rPr>
          <w:lang w:val="en-US"/>
        </w:rPr>
      </w:pPr>
      <w:bookmarkStart w:id="6" w:name="_Toc117684841"/>
      <w:bookmarkStart w:id="7" w:name="_Toc117775792"/>
      <w:bookmarkStart w:id="8" w:name="_Toc117775829"/>
      <w:r w:rsidRPr="00EF698B">
        <w:rPr>
          <w:lang w:val="en-US"/>
        </w:rPr>
        <w:t>References</w:t>
      </w:r>
      <w:bookmarkEnd w:id="5"/>
      <w:bookmarkEnd w:id="6"/>
      <w:bookmarkEnd w:id="7"/>
      <w:bookmarkEnd w:id="8"/>
    </w:p>
    <w:p w14:paraId="45536D97" w14:textId="055B859B" w:rsidR="00367DE9" w:rsidRPr="00A11D76" w:rsidRDefault="00EA5F89" w:rsidP="00955046">
      <w:pPr>
        <w:numPr>
          <w:ilvl w:val="0"/>
          <w:numId w:val="19"/>
        </w:numPr>
        <w:overflowPunct w:val="0"/>
        <w:autoSpaceDE w:val="0"/>
        <w:autoSpaceDN w:val="0"/>
        <w:adjustRightInd w:val="0"/>
        <w:spacing w:after="0"/>
        <w:jc w:val="both"/>
        <w:textAlignment w:val="baseline"/>
      </w:pPr>
      <w:bookmarkStart w:id="9" w:name="_Hlk92129218"/>
      <w:bookmarkStart w:id="10" w:name="_Ref114761755"/>
      <w:bookmarkStart w:id="11" w:name="_Ref114500673"/>
      <w:bookmarkEnd w:id="11"/>
      <w:r w:rsidRPr="00554BD5">
        <w:t xml:space="preserve">R2-2211048 </w:t>
      </w:r>
      <w:r w:rsidR="00410570" w:rsidRPr="00410570">
        <w:t>LS on validity of assistance information</w:t>
      </w:r>
      <w:r w:rsidR="00955046">
        <w:t xml:space="preserve"> </w:t>
      </w:r>
      <w:r w:rsidR="00955046">
        <w:t xml:space="preserve">3GPP TSG RAN WG2#119bis Online, 10th-19th </w:t>
      </w:r>
      <w:proofErr w:type="gramStart"/>
      <w:r w:rsidR="00955046">
        <w:t>October,</w:t>
      </w:r>
      <w:proofErr w:type="gramEnd"/>
      <w:r w:rsidR="00955046">
        <w:t xml:space="preserve"> 2022</w:t>
      </w:r>
    </w:p>
    <w:p w14:paraId="35F222F4" w14:textId="62210ACB" w:rsidR="00080512" w:rsidRPr="00A209D6" w:rsidRDefault="00367DE9" w:rsidP="00C03E3C">
      <w:pPr>
        <w:numPr>
          <w:ilvl w:val="0"/>
          <w:numId w:val="19"/>
        </w:numPr>
        <w:overflowPunct w:val="0"/>
        <w:autoSpaceDE w:val="0"/>
        <w:autoSpaceDN w:val="0"/>
        <w:adjustRightInd w:val="0"/>
        <w:spacing w:after="0"/>
        <w:jc w:val="both"/>
        <w:textAlignment w:val="baseline"/>
      </w:pPr>
      <w:bookmarkStart w:id="12" w:name="_Ref118130224"/>
      <w:r w:rsidRPr="00A11D76">
        <w:t>TS 38.331</w:t>
      </w:r>
      <w:r w:rsidR="00027D91">
        <w:t xml:space="preserve"> </w:t>
      </w:r>
      <w:r w:rsidRPr="00423A3D">
        <w:rPr>
          <w:i/>
          <w:iCs/>
          <w:color w:val="000000"/>
        </w:rPr>
        <w:t>NR; Radio Resource Control (RRC); Protocol specification</w:t>
      </w:r>
      <w:r w:rsidRPr="00423A3D">
        <w:rPr>
          <w:color w:val="000000"/>
        </w:rPr>
        <w:t>, V17.</w:t>
      </w:r>
      <w:r w:rsidR="00EA5F89" w:rsidRPr="00423A3D">
        <w:rPr>
          <w:color w:val="000000"/>
        </w:rPr>
        <w:t>2</w:t>
      </w:r>
      <w:r w:rsidRPr="00423A3D">
        <w:rPr>
          <w:color w:val="000000"/>
        </w:rPr>
        <w:t>.0, 3GPP</w:t>
      </w:r>
      <w:bookmarkEnd w:id="12"/>
      <w:bookmarkEnd w:id="9"/>
      <w:bookmarkEnd w:id="10"/>
    </w:p>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2D6A" w14:textId="77777777" w:rsidR="0038331D" w:rsidRDefault="0038331D">
      <w:r>
        <w:separator/>
      </w:r>
    </w:p>
  </w:endnote>
  <w:endnote w:type="continuationSeparator" w:id="0">
    <w:p w14:paraId="3CDFE922" w14:textId="77777777" w:rsidR="0038331D" w:rsidRDefault="0038331D">
      <w:r>
        <w:continuationSeparator/>
      </w:r>
    </w:p>
  </w:endnote>
  <w:endnote w:type="continuationNotice" w:id="1">
    <w:p w14:paraId="0CE4DE24" w14:textId="77777777" w:rsidR="0038331D" w:rsidRDefault="00383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8E26" w14:textId="77777777" w:rsidR="0038331D" w:rsidRDefault="0038331D">
      <w:r>
        <w:separator/>
      </w:r>
    </w:p>
  </w:footnote>
  <w:footnote w:type="continuationSeparator" w:id="0">
    <w:p w14:paraId="46259852" w14:textId="77777777" w:rsidR="0038331D" w:rsidRDefault="0038331D">
      <w:r>
        <w:continuationSeparator/>
      </w:r>
    </w:p>
  </w:footnote>
  <w:footnote w:type="continuationNotice" w:id="1">
    <w:p w14:paraId="6B2F416B" w14:textId="77777777" w:rsidR="0038331D" w:rsidRDefault="00383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62332"/>
    <w:multiLevelType w:val="hybridMultilevel"/>
    <w:tmpl w:val="C03E9CE8"/>
    <w:lvl w:ilvl="0" w:tplc="F5E6FE20">
      <w:start w:val="2"/>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A36677D"/>
    <w:multiLevelType w:val="hybridMultilevel"/>
    <w:tmpl w:val="F9665BE4"/>
    <w:lvl w:ilvl="0" w:tplc="08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15:restartNumberingAfterBreak="0">
    <w:nsid w:val="10850228"/>
    <w:multiLevelType w:val="hybridMultilevel"/>
    <w:tmpl w:val="F9665BE4"/>
    <w:lvl w:ilvl="0" w:tplc="FFFFFFFF">
      <w:start w:val="1"/>
      <w:numFmt w:val="decimal"/>
      <w:lvlText w:val="%1."/>
      <w:lvlJc w:val="left"/>
      <w:pPr>
        <w:ind w:left="840" w:hanging="420"/>
      </w:pPr>
    </w:lvl>
    <w:lvl w:ilvl="1" w:tplc="FFFFFFFF">
      <w:start w:val="1"/>
      <w:numFmt w:val="lowerLetter"/>
      <w:lvlText w:val="%2)"/>
      <w:lvlJc w:val="left"/>
      <w:pPr>
        <w:ind w:left="1260" w:hanging="420"/>
      </w:pPr>
    </w:lvl>
    <w:lvl w:ilvl="2" w:tplc="FFFFFFFF">
      <w:start w:val="1"/>
      <w:numFmt w:val="lowerRoman"/>
      <w:lvlText w:val="%3."/>
      <w:lvlJc w:val="right"/>
      <w:pPr>
        <w:ind w:left="1680" w:hanging="420"/>
      </w:pPr>
    </w:lvl>
    <w:lvl w:ilvl="3" w:tplc="FFFFFFFF">
      <w:start w:val="1"/>
      <w:numFmt w:val="decimal"/>
      <w:lvlText w:val="%4."/>
      <w:lvlJc w:val="left"/>
      <w:pPr>
        <w:ind w:left="2100" w:hanging="420"/>
      </w:pPr>
    </w:lvl>
    <w:lvl w:ilvl="4" w:tplc="FFFFFFFF">
      <w:start w:val="1"/>
      <w:numFmt w:val="lowerLetter"/>
      <w:lvlText w:val="%5)"/>
      <w:lvlJc w:val="left"/>
      <w:pPr>
        <w:ind w:left="2520" w:hanging="420"/>
      </w:pPr>
    </w:lvl>
    <w:lvl w:ilvl="5" w:tplc="FFFFFFFF">
      <w:start w:val="1"/>
      <w:numFmt w:val="lowerRoman"/>
      <w:lvlText w:val="%6."/>
      <w:lvlJc w:val="right"/>
      <w:pPr>
        <w:ind w:left="2940" w:hanging="420"/>
      </w:pPr>
    </w:lvl>
    <w:lvl w:ilvl="6" w:tplc="FFFFFFFF">
      <w:start w:val="1"/>
      <w:numFmt w:val="decimal"/>
      <w:lvlText w:val="%7."/>
      <w:lvlJc w:val="left"/>
      <w:pPr>
        <w:ind w:left="3360" w:hanging="420"/>
      </w:pPr>
    </w:lvl>
    <w:lvl w:ilvl="7" w:tplc="FFFFFFFF">
      <w:start w:val="1"/>
      <w:numFmt w:val="lowerLetter"/>
      <w:lvlText w:val="%8)"/>
      <w:lvlJc w:val="left"/>
      <w:pPr>
        <w:ind w:left="3780" w:hanging="420"/>
      </w:pPr>
    </w:lvl>
    <w:lvl w:ilvl="8" w:tplc="FFFFFFFF">
      <w:start w:val="1"/>
      <w:numFmt w:val="lowerRoman"/>
      <w:lvlText w:val="%9."/>
      <w:lvlJc w:val="right"/>
      <w:pPr>
        <w:ind w:left="4200" w:hanging="420"/>
      </w:pPr>
    </w:lvl>
  </w:abstractNum>
  <w:abstractNum w:abstractNumId="5" w15:restartNumberingAfterBreak="0">
    <w:nsid w:val="177B735C"/>
    <w:multiLevelType w:val="hybridMultilevel"/>
    <w:tmpl w:val="DB4C7FB4"/>
    <w:lvl w:ilvl="0" w:tplc="0406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646411"/>
    <w:multiLevelType w:val="multilevel"/>
    <w:tmpl w:val="41AA6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852232"/>
    <w:multiLevelType w:val="hybridMultilevel"/>
    <w:tmpl w:val="23A0392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D460C74"/>
    <w:multiLevelType w:val="hybridMultilevel"/>
    <w:tmpl w:val="C988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662FDB"/>
    <w:multiLevelType w:val="hybridMultilevel"/>
    <w:tmpl w:val="2760F7C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74540E1D"/>
    <w:multiLevelType w:val="multilevel"/>
    <w:tmpl w:val="2C588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1"/>
  </w:num>
  <w:num w:numId="7">
    <w:abstractNumId w:val="12"/>
  </w:num>
  <w:num w:numId="8">
    <w:abstractNumId w:val="14"/>
  </w:num>
  <w:num w:numId="9">
    <w:abstractNumId w:val="17"/>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6"/>
  </w:num>
  <w:num w:numId="14">
    <w:abstractNumId w:val="2"/>
  </w:num>
  <w:num w:numId="15">
    <w:abstractNumId w:val="7"/>
  </w:num>
  <w:num w:numId="16">
    <w:abstractNumId w:val="17"/>
  </w:num>
  <w:num w:numId="17">
    <w:abstractNumId w:val="6"/>
  </w:num>
  <w:num w:numId="18">
    <w:abstractNumId w:val="15"/>
  </w:num>
  <w:num w:numId="19">
    <w:abstractNumId w:val="13"/>
  </w:num>
  <w:num w:numId="20">
    <w:abstractNumId w:val="8"/>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AC"/>
    <w:rsid w:val="00006C10"/>
    <w:rsid w:val="0000796C"/>
    <w:rsid w:val="000106EF"/>
    <w:rsid w:val="00016557"/>
    <w:rsid w:val="00023C40"/>
    <w:rsid w:val="00027D91"/>
    <w:rsid w:val="00033397"/>
    <w:rsid w:val="00040095"/>
    <w:rsid w:val="00063D6D"/>
    <w:rsid w:val="00064A55"/>
    <w:rsid w:val="00065268"/>
    <w:rsid w:val="00073C9C"/>
    <w:rsid w:val="00076412"/>
    <w:rsid w:val="00080512"/>
    <w:rsid w:val="000847F4"/>
    <w:rsid w:val="000855EF"/>
    <w:rsid w:val="0008784F"/>
    <w:rsid w:val="00090468"/>
    <w:rsid w:val="00094568"/>
    <w:rsid w:val="000A260C"/>
    <w:rsid w:val="000B7BCF"/>
    <w:rsid w:val="000C522B"/>
    <w:rsid w:val="000D383A"/>
    <w:rsid w:val="000D58AB"/>
    <w:rsid w:val="000E3DE8"/>
    <w:rsid w:val="000F2A0A"/>
    <w:rsid w:val="000F6801"/>
    <w:rsid w:val="00105490"/>
    <w:rsid w:val="00111799"/>
    <w:rsid w:val="00112F1A"/>
    <w:rsid w:val="00120F4A"/>
    <w:rsid w:val="00123ABF"/>
    <w:rsid w:val="00136CA8"/>
    <w:rsid w:val="00142C36"/>
    <w:rsid w:val="00145075"/>
    <w:rsid w:val="00147174"/>
    <w:rsid w:val="00151A95"/>
    <w:rsid w:val="001553D1"/>
    <w:rsid w:val="001741A0"/>
    <w:rsid w:val="00174649"/>
    <w:rsid w:val="00175FA0"/>
    <w:rsid w:val="00176116"/>
    <w:rsid w:val="0018584A"/>
    <w:rsid w:val="001945FB"/>
    <w:rsid w:val="00194CD0"/>
    <w:rsid w:val="001B49C9"/>
    <w:rsid w:val="001C23F4"/>
    <w:rsid w:val="001C4F79"/>
    <w:rsid w:val="001C5A93"/>
    <w:rsid w:val="001C7CBD"/>
    <w:rsid w:val="001F168B"/>
    <w:rsid w:val="001F300A"/>
    <w:rsid w:val="001F7831"/>
    <w:rsid w:val="00201CE0"/>
    <w:rsid w:val="00204045"/>
    <w:rsid w:val="0020712B"/>
    <w:rsid w:val="002107F7"/>
    <w:rsid w:val="00217CBA"/>
    <w:rsid w:val="002211D1"/>
    <w:rsid w:val="0022606D"/>
    <w:rsid w:val="00231728"/>
    <w:rsid w:val="00244A05"/>
    <w:rsid w:val="00250404"/>
    <w:rsid w:val="002528AE"/>
    <w:rsid w:val="00256B74"/>
    <w:rsid w:val="0026013C"/>
    <w:rsid w:val="002610D8"/>
    <w:rsid w:val="0026275C"/>
    <w:rsid w:val="00265594"/>
    <w:rsid w:val="002747EC"/>
    <w:rsid w:val="002855BF"/>
    <w:rsid w:val="00287130"/>
    <w:rsid w:val="00287FC4"/>
    <w:rsid w:val="002B2988"/>
    <w:rsid w:val="002D7CC5"/>
    <w:rsid w:val="002F0D22"/>
    <w:rsid w:val="00311B17"/>
    <w:rsid w:val="003172DC"/>
    <w:rsid w:val="00323153"/>
    <w:rsid w:val="00325875"/>
    <w:rsid w:val="00325AE3"/>
    <w:rsid w:val="00326069"/>
    <w:rsid w:val="003450D3"/>
    <w:rsid w:val="0035462D"/>
    <w:rsid w:val="0036459E"/>
    <w:rsid w:val="00364B41"/>
    <w:rsid w:val="00365F92"/>
    <w:rsid w:val="00367DE9"/>
    <w:rsid w:val="003750D0"/>
    <w:rsid w:val="00383096"/>
    <w:rsid w:val="0038331D"/>
    <w:rsid w:val="0039147E"/>
    <w:rsid w:val="0039346C"/>
    <w:rsid w:val="003A41EF"/>
    <w:rsid w:val="003B40AD"/>
    <w:rsid w:val="003C4E37"/>
    <w:rsid w:val="003E16BE"/>
    <w:rsid w:val="003F4D0D"/>
    <w:rsid w:val="003F4E28"/>
    <w:rsid w:val="004006E8"/>
    <w:rsid w:val="00401855"/>
    <w:rsid w:val="00410570"/>
    <w:rsid w:val="00411EFC"/>
    <w:rsid w:val="004150FD"/>
    <w:rsid w:val="00415443"/>
    <w:rsid w:val="00420FDA"/>
    <w:rsid w:val="00423A3D"/>
    <w:rsid w:val="004273F5"/>
    <w:rsid w:val="00446C3A"/>
    <w:rsid w:val="00451035"/>
    <w:rsid w:val="00465587"/>
    <w:rsid w:val="00473DDE"/>
    <w:rsid w:val="004750F7"/>
    <w:rsid w:val="00477455"/>
    <w:rsid w:val="004A1F7B"/>
    <w:rsid w:val="004A6848"/>
    <w:rsid w:val="004C44D2"/>
    <w:rsid w:val="004C5AC7"/>
    <w:rsid w:val="004D3578"/>
    <w:rsid w:val="004D380D"/>
    <w:rsid w:val="004E183A"/>
    <w:rsid w:val="004E213A"/>
    <w:rsid w:val="004E5ECD"/>
    <w:rsid w:val="004F4540"/>
    <w:rsid w:val="004F73A7"/>
    <w:rsid w:val="00503171"/>
    <w:rsid w:val="00506C28"/>
    <w:rsid w:val="00522E1A"/>
    <w:rsid w:val="00534DA0"/>
    <w:rsid w:val="0054046F"/>
    <w:rsid w:val="00543E6C"/>
    <w:rsid w:val="00550833"/>
    <w:rsid w:val="00554BD5"/>
    <w:rsid w:val="00565087"/>
    <w:rsid w:val="0056573F"/>
    <w:rsid w:val="00571279"/>
    <w:rsid w:val="005A13AB"/>
    <w:rsid w:val="005A25E9"/>
    <w:rsid w:val="005A49C6"/>
    <w:rsid w:val="005A7484"/>
    <w:rsid w:val="005C766E"/>
    <w:rsid w:val="005C7CD5"/>
    <w:rsid w:val="005D4E75"/>
    <w:rsid w:val="005D5367"/>
    <w:rsid w:val="005E58CF"/>
    <w:rsid w:val="005F2708"/>
    <w:rsid w:val="005F5036"/>
    <w:rsid w:val="00600B8B"/>
    <w:rsid w:val="00607D6E"/>
    <w:rsid w:val="006103D4"/>
    <w:rsid w:val="00610BA4"/>
    <w:rsid w:val="00611566"/>
    <w:rsid w:val="00635C05"/>
    <w:rsid w:val="006464DE"/>
    <w:rsid w:val="00646D99"/>
    <w:rsid w:val="00656910"/>
    <w:rsid w:val="006574C0"/>
    <w:rsid w:val="00670BFE"/>
    <w:rsid w:val="00686276"/>
    <w:rsid w:val="0069090A"/>
    <w:rsid w:val="00696821"/>
    <w:rsid w:val="006979BE"/>
    <w:rsid w:val="00697A15"/>
    <w:rsid w:val="00697D84"/>
    <w:rsid w:val="006A29F5"/>
    <w:rsid w:val="006A37BF"/>
    <w:rsid w:val="006C66D8"/>
    <w:rsid w:val="006D1E24"/>
    <w:rsid w:val="006D3379"/>
    <w:rsid w:val="006D35DE"/>
    <w:rsid w:val="006E05BD"/>
    <w:rsid w:val="006E1057"/>
    <w:rsid w:val="006E1417"/>
    <w:rsid w:val="006F6529"/>
    <w:rsid w:val="006F6A2C"/>
    <w:rsid w:val="0070374F"/>
    <w:rsid w:val="007069DC"/>
    <w:rsid w:val="00710201"/>
    <w:rsid w:val="00712AD1"/>
    <w:rsid w:val="0072073A"/>
    <w:rsid w:val="00733C78"/>
    <w:rsid w:val="007342B5"/>
    <w:rsid w:val="00734A5B"/>
    <w:rsid w:val="0074124E"/>
    <w:rsid w:val="00744E76"/>
    <w:rsid w:val="0075247A"/>
    <w:rsid w:val="00757D40"/>
    <w:rsid w:val="007662B5"/>
    <w:rsid w:val="00781F0F"/>
    <w:rsid w:val="0078727C"/>
    <w:rsid w:val="0079049D"/>
    <w:rsid w:val="00793DC5"/>
    <w:rsid w:val="00796430"/>
    <w:rsid w:val="00796823"/>
    <w:rsid w:val="007A2E55"/>
    <w:rsid w:val="007B18D8"/>
    <w:rsid w:val="007C095F"/>
    <w:rsid w:val="007C2DD0"/>
    <w:rsid w:val="007D4F0A"/>
    <w:rsid w:val="007D74CD"/>
    <w:rsid w:val="007E431A"/>
    <w:rsid w:val="007F1FF6"/>
    <w:rsid w:val="007F2E08"/>
    <w:rsid w:val="008024FA"/>
    <w:rsid w:val="008028A4"/>
    <w:rsid w:val="00813245"/>
    <w:rsid w:val="0083081F"/>
    <w:rsid w:val="00840DE0"/>
    <w:rsid w:val="00847CD0"/>
    <w:rsid w:val="008607A8"/>
    <w:rsid w:val="0086354A"/>
    <w:rsid w:val="008652A1"/>
    <w:rsid w:val="00866D55"/>
    <w:rsid w:val="008768CA"/>
    <w:rsid w:val="0087740D"/>
    <w:rsid w:val="00877EF9"/>
    <w:rsid w:val="00880559"/>
    <w:rsid w:val="0089762F"/>
    <w:rsid w:val="008A49D6"/>
    <w:rsid w:val="008B5306"/>
    <w:rsid w:val="008B54E8"/>
    <w:rsid w:val="008C2E2A"/>
    <w:rsid w:val="008C3057"/>
    <w:rsid w:val="008D2E4D"/>
    <w:rsid w:val="008D4C8B"/>
    <w:rsid w:val="008D77F9"/>
    <w:rsid w:val="008E34C6"/>
    <w:rsid w:val="008F396F"/>
    <w:rsid w:val="008F3DCD"/>
    <w:rsid w:val="009017FC"/>
    <w:rsid w:val="0090271F"/>
    <w:rsid w:val="00902DB9"/>
    <w:rsid w:val="0090466A"/>
    <w:rsid w:val="009200BA"/>
    <w:rsid w:val="00923655"/>
    <w:rsid w:val="009339CB"/>
    <w:rsid w:val="00936071"/>
    <w:rsid w:val="009376CD"/>
    <w:rsid w:val="00940212"/>
    <w:rsid w:val="00942EC2"/>
    <w:rsid w:val="00943BAB"/>
    <w:rsid w:val="00947AB2"/>
    <w:rsid w:val="00955046"/>
    <w:rsid w:val="00961B32"/>
    <w:rsid w:val="00962509"/>
    <w:rsid w:val="00970DB3"/>
    <w:rsid w:val="00974BB0"/>
    <w:rsid w:val="00975BCD"/>
    <w:rsid w:val="0097611F"/>
    <w:rsid w:val="00986208"/>
    <w:rsid w:val="009928A9"/>
    <w:rsid w:val="009A0AF3"/>
    <w:rsid w:val="009A28DE"/>
    <w:rsid w:val="009B07CD"/>
    <w:rsid w:val="009B30E8"/>
    <w:rsid w:val="009C19E9"/>
    <w:rsid w:val="009D116C"/>
    <w:rsid w:val="009D74A6"/>
    <w:rsid w:val="009E0E87"/>
    <w:rsid w:val="009F184A"/>
    <w:rsid w:val="00A0141D"/>
    <w:rsid w:val="00A07828"/>
    <w:rsid w:val="00A10F02"/>
    <w:rsid w:val="00A11D76"/>
    <w:rsid w:val="00A15605"/>
    <w:rsid w:val="00A17176"/>
    <w:rsid w:val="00A204CA"/>
    <w:rsid w:val="00A209D6"/>
    <w:rsid w:val="00A22738"/>
    <w:rsid w:val="00A36F5F"/>
    <w:rsid w:val="00A430EC"/>
    <w:rsid w:val="00A50DBA"/>
    <w:rsid w:val="00A53724"/>
    <w:rsid w:val="00A54B2B"/>
    <w:rsid w:val="00A56448"/>
    <w:rsid w:val="00A703B6"/>
    <w:rsid w:val="00A7164B"/>
    <w:rsid w:val="00A82346"/>
    <w:rsid w:val="00A824CA"/>
    <w:rsid w:val="00A9671C"/>
    <w:rsid w:val="00AA1553"/>
    <w:rsid w:val="00AC6678"/>
    <w:rsid w:val="00AC6AA3"/>
    <w:rsid w:val="00AD608C"/>
    <w:rsid w:val="00AF5EF4"/>
    <w:rsid w:val="00B039C6"/>
    <w:rsid w:val="00B047D6"/>
    <w:rsid w:val="00B05380"/>
    <w:rsid w:val="00B05962"/>
    <w:rsid w:val="00B15449"/>
    <w:rsid w:val="00B16C2F"/>
    <w:rsid w:val="00B21652"/>
    <w:rsid w:val="00B27303"/>
    <w:rsid w:val="00B37259"/>
    <w:rsid w:val="00B404B5"/>
    <w:rsid w:val="00B47FD1"/>
    <w:rsid w:val="00B516BB"/>
    <w:rsid w:val="00B62136"/>
    <w:rsid w:val="00B7538C"/>
    <w:rsid w:val="00B777E6"/>
    <w:rsid w:val="00B827DD"/>
    <w:rsid w:val="00B84DB2"/>
    <w:rsid w:val="00BA24F0"/>
    <w:rsid w:val="00BA5CC0"/>
    <w:rsid w:val="00BA7F83"/>
    <w:rsid w:val="00BC3555"/>
    <w:rsid w:val="00BC5DDC"/>
    <w:rsid w:val="00BF4E8D"/>
    <w:rsid w:val="00C06D35"/>
    <w:rsid w:val="00C12B51"/>
    <w:rsid w:val="00C15273"/>
    <w:rsid w:val="00C24650"/>
    <w:rsid w:val="00C25465"/>
    <w:rsid w:val="00C30D6F"/>
    <w:rsid w:val="00C33079"/>
    <w:rsid w:val="00C46E95"/>
    <w:rsid w:val="00C55A12"/>
    <w:rsid w:val="00C55EF6"/>
    <w:rsid w:val="00C6553E"/>
    <w:rsid w:val="00C6737C"/>
    <w:rsid w:val="00C70781"/>
    <w:rsid w:val="00C768F8"/>
    <w:rsid w:val="00C83A13"/>
    <w:rsid w:val="00C86D30"/>
    <w:rsid w:val="00C86F10"/>
    <w:rsid w:val="00C9068C"/>
    <w:rsid w:val="00C92967"/>
    <w:rsid w:val="00C97AD1"/>
    <w:rsid w:val="00C97E74"/>
    <w:rsid w:val="00CA3D0C"/>
    <w:rsid w:val="00CA654B"/>
    <w:rsid w:val="00CB2219"/>
    <w:rsid w:val="00CB3BEF"/>
    <w:rsid w:val="00CB72B8"/>
    <w:rsid w:val="00CD0BA8"/>
    <w:rsid w:val="00CD3D1D"/>
    <w:rsid w:val="00CD4C7B"/>
    <w:rsid w:val="00CD58FE"/>
    <w:rsid w:val="00D124AB"/>
    <w:rsid w:val="00D12C03"/>
    <w:rsid w:val="00D15D84"/>
    <w:rsid w:val="00D202A4"/>
    <w:rsid w:val="00D32F06"/>
    <w:rsid w:val="00D33BE3"/>
    <w:rsid w:val="00D3792D"/>
    <w:rsid w:val="00D457A1"/>
    <w:rsid w:val="00D46976"/>
    <w:rsid w:val="00D55E47"/>
    <w:rsid w:val="00D56EE0"/>
    <w:rsid w:val="00D62E19"/>
    <w:rsid w:val="00D67908"/>
    <w:rsid w:val="00D67CD1"/>
    <w:rsid w:val="00D738D6"/>
    <w:rsid w:val="00D80795"/>
    <w:rsid w:val="00D854BE"/>
    <w:rsid w:val="00D87E00"/>
    <w:rsid w:val="00D9134D"/>
    <w:rsid w:val="00D96D11"/>
    <w:rsid w:val="00DA7A03"/>
    <w:rsid w:val="00DB0DB8"/>
    <w:rsid w:val="00DB1818"/>
    <w:rsid w:val="00DB6089"/>
    <w:rsid w:val="00DC309B"/>
    <w:rsid w:val="00DC4DA2"/>
    <w:rsid w:val="00DC5261"/>
    <w:rsid w:val="00DD28E3"/>
    <w:rsid w:val="00DD29B8"/>
    <w:rsid w:val="00DE25D2"/>
    <w:rsid w:val="00DE6A68"/>
    <w:rsid w:val="00DF7057"/>
    <w:rsid w:val="00DF78E4"/>
    <w:rsid w:val="00DF7C20"/>
    <w:rsid w:val="00E12486"/>
    <w:rsid w:val="00E227D2"/>
    <w:rsid w:val="00E4473E"/>
    <w:rsid w:val="00E46C08"/>
    <w:rsid w:val="00E471CF"/>
    <w:rsid w:val="00E62835"/>
    <w:rsid w:val="00E70545"/>
    <w:rsid w:val="00E74650"/>
    <w:rsid w:val="00E77539"/>
    <w:rsid w:val="00E77645"/>
    <w:rsid w:val="00E83697"/>
    <w:rsid w:val="00E859B6"/>
    <w:rsid w:val="00E90F42"/>
    <w:rsid w:val="00EA5473"/>
    <w:rsid w:val="00EA5F89"/>
    <w:rsid w:val="00EA66C9"/>
    <w:rsid w:val="00EB5D32"/>
    <w:rsid w:val="00EC0D1E"/>
    <w:rsid w:val="00EC448D"/>
    <w:rsid w:val="00EC4A25"/>
    <w:rsid w:val="00EC6A29"/>
    <w:rsid w:val="00ED00EB"/>
    <w:rsid w:val="00ED319F"/>
    <w:rsid w:val="00ED66FB"/>
    <w:rsid w:val="00ED7CB3"/>
    <w:rsid w:val="00EE075E"/>
    <w:rsid w:val="00EE38CC"/>
    <w:rsid w:val="00EF612C"/>
    <w:rsid w:val="00F025A2"/>
    <w:rsid w:val="00F036E9"/>
    <w:rsid w:val="00F07388"/>
    <w:rsid w:val="00F2026E"/>
    <w:rsid w:val="00F2210A"/>
    <w:rsid w:val="00F2790C"/>
    <w:rsid w:val="00F31372"/>
    <w:rsid w:val="00F33480"/>
    <w:rsid w:val="00F35980"/>
    <w:rsid w:val="00F37743"/>
    <w:rsid w:val="00F41CF2"/>
    <w:rsid w:val="00F43015"/>
    <w:rsid w:val="00F54A3D"/>
    <w:rsid w:val="00F54CB0"/>
    <w:rsid w:val="00F579CD"/>
    <w:rsid w:val="00F61B76"/>
    <w:rsid w:val="00F653B8"/>
    <w:rsid w:val="00F71B89"/>
    <w:rsid w:val="00F7353C"/>
    <w:rsid w:val="00F76F8F"/>
    <w:rsid w:val="00F863EF"/>
    <w:rsid w:val="00F87257"/>
    <w:rsid w:val="00F941DF"/>
    <w:rsid w:val="00F94B0E"/>
    <w:rsid w:val="00F96675"/>
    <w:rsid w:val="00FA1266"/>
    <w:rsid w:val="00FB36FA"/>
    <w:rsid w:val="00FC1192"/>
    <w:rsid w:val="00FE106D"/>
    <w:rsid w:val="00FE251B"/>
    <w:rsid w:val="00FE3160"/>
    <w:rsid w:val="00FF0C52"/>
    <w:rsid w:val="00FF4A5D"/>
    <w:rsid w:val="00FF4C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E6A68"/>
    <w:pPr>
      <w:ind w:left="720"/>
      <w:contextualSpacing/>
    </w:p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DE6A68"/>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E6A68"/>
    <w:rPr>
      <w:i/>
      <w:iCs/>
      <w:color w:val="44546A" w:themeColor="text2"/>
      <w:sz w:val="18"/>
      <w:szCs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E6A68"/>
    <w:rPr>
      <w:lang w:eastAsia="en-US"/>
    </w:rPr>
  </w:style>
  <w:style w:type="paragraph" w:customStyle="1" w:styleId="xxmsonormal">
    <w:name w:val="x_xmsonormal"/>
    <w:basedOn w:val="Normal"/>
    <w:rsid w:val="00287130"/>
    <w:pPr>
      <w:spacing w:before="100" w:beforeAutospacing="1" w:after="100" w:afterAutospacing="1"/>
    </w:pPr>
    <w:rPr>
      <w:rFonts w:ascii="Calibri" w:eastAsiaTheme="minorHAnsi" w:hAnsi="Calibri" w:cs="Calibri"/>
      <w:sz w:val="22"/>
      <w:szCs w:val="22"/>
      <w:lang w:val="da-DK" w:eastAsia="da-DK"/>
    </w:rPr>
  </w:style>
  <w:style w:type="character" w:styleId="CommentReference">
    <w:name w:val="annotation reference"/>
    <w:basedOn w:val="DefaultParagraphFont"/>
    <w:rsid w:val="00DD28E3"/>
    <w:rPr>
      <w:sz w:val="16"/>
      <w:szCs w:val="16"/>
    </w:rPr>
  </w:style>
  <w:style w:type="paragraph" w:styleId="CommentText">
    <w:name w:val="annotation text"/>
    <w:basedOn w:val="Normal"/>
    <w:link w:val="CommentTextChar"/>
    <w:rsid w:val="00DD28E3"/>
  </w:style>
  <w:style w:type="character" w:customStyle="1" w:styleId="CommentTextChar">
    <w:name w:val="Comment Text Char"/>
    <w:basedOn w:val="DefaultParagraphFont"/>
    <w:link w:val="CommentText"/>
    <w:rsid w:val="00DD28E3"/>
    <w:rPr>
      <w:lang w:eastAsia="en-US"/>
    </w:rPr>
  </w:style>
  <w:style w:type="paragraph" w:styleId="CommentSubject">
    <w:name w:val="annotation subject"/>
    <w:basedOn w:val="CommentText"/>
    <w:next w:val="CommentText"/>
    <w:link w:val="CommentSubjectChar"/>
    <w:rsid w:val="00DD28E3"/>
    <w:rPr>
      <w:b/>
      <w:bCs/>
    </w:rPr>
  </w:style>
  <w:style w:type="character" w:customStyle="1" w:styleId="CommentSubjectChar">
    <w:name w:val="Comment Subject Char"/>
    <w:basedOn w:val="CommentTextChar"/>
    <w:link w:val="CommentSubject"/>
    <w:rsid w:val="00DD28E3"/>
    <w:rPr>
      <w:b/>
      <w:bCs/>
      <w:lang w:eastAsia="en-US"/>
    </w:rPr>
  </w:style>
  <w:style w:type="table" w:styleId="TableGrid">
    <w:name w:val="Table Grid"/>
    <w:basedOn w:val="TableNormal"/>
    <w:uiPriority w:val="39"/>
    <w:rsid w:val="00ED00EB"/>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D00EB"/>
    <w:pPr>
      <w:spacing w:before="100" w:beforeAutospacing="1" w:after="100" w:afterAutospacing="1"/>
    </w:pPr>
    <w:rPr>
      <w:sz w:val="24"/>
      <w:szCs w:val="24"/>
      <w:lang w:eastAsia="en-GB"/>
    </w:rPr>
  </w:style>
  <w:style w:type="character" w:customStyle="1" w:styleId="normaltextrun">
    <w:name w:val="normaltextrun"/>
    <w:basedOn w:val="DefaultParagraphFont"/>
    <w:qFormat/>
    <w:rsid w:val="00ED00EB"/>
  </w:style>
  <w:style w:type="character" w:customStyle="1" w:styleId="TAHCar">
    <w:name w:val="TAH Car"/>
    <w:link w:val="TAH"/>
    <w:qFormat/>
    <w:locked/>
    <w:rsid w:val="00ED00EB"/>
    <w:rPr>
      <w:rFonts w:ascii="Arial" w:hAnsi="Arial"/>
      <w:b/>
      <w:sz w:val="18"/>
      <w:lang w:eastAsia="en-US"/>
    </w:rPr>
  </w:style>
  <w:style w:type="paragraph" w:customStyle="1" w:styleId="RAN4H2">
    <w:name w:val="RAN4 H2"/>
    <w:basedOn w:val="Heading2"/>
    <w:next w:val="Normal"/>
    <w:qFormat/>
    <w:rsid w:val="00ED00EB"/>
    <w:pPr>
      <w:numPr>
        <w:ilvl w:val="1"/>
        <w:numId w:val="18"/>
      </w:numPr>
      <w:tabs>
        <w:tab w:val="num" w:pos="360"/>
      </w:tabs>
    </w:pPr>
    <w:rPr>
      <w:lang w:val="en-US"/>
    </w:rPr>
  </w:style>
  <w:style w:type="paragraph" w:customStyle="1" w:styleId="RAN4H1">
    <w:name w:val="RAN4 H1"/>
    <w:basedOn w:val="Normal"/>
    <w:next w:val="Normal"/>
    <w:link w:val="RAN4H1Char"/>
    <w:qFormat/>
    <w:rsid w:val="00ED00EB"/>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D00EB"/>
    <w:rPr>
      <w:rFonts w:ascii="Arial" w:eastAsia="SimSun" w:hAnsi="Arial"/>
      <w:sz w:val="36"/>
      <w:lang w:eastAsia="en-US"/>
    </w:rPr>
  </w:style>
  <w:style w:type="paragraph" w:customStyle="1" w:styleId="RAN4H3">
    <w:name w:val="RAN4 H3"/>
    <w:basedOn w:val="Normal"/>
    <w:qFormat/>
    <w:rsid w:val="00ED00EB"/>
    <w:pPr>
      <w:numPr>
        <w:ilvl w:val="2"/>
        <w:numId w:val="18"/>
      </w:numPr>
      <w:spacing w:after="160" w:line="259" w:lineRule="auto"/>
    </w:pPr>
    <w:rPr>
      <w:rFonts w:ascii="Arial" w:eastAsiaTheme="minorHAnsi" w:hAnsi="Arial" w:cs="Arial"/>
      <w:sz w:val="24"/>
      <w:szCs w:val="22"/>
      <w:lang w:val="en-US"/>
    </w:rPr>
  </w:style>
  <w:style w:type="character" w:customStyle="1" w:styleId="Heading2Char">
    <w:name w:val="Heading 2 Char"/>
    <w:basedOn w:val="DefaultParagraphFont"/>
    <w:link w:val="Heading2"/>
    <w:rsid w:val="00A50DBA"/>
    <w:rPr>
      <w:rFonts w:ascii="Arial" w:hAnsi="Arial"/>
      <w:sz w:val="32"/>
      <w:lang w:eastAsia="en-US"/>
    </w:rPr>
  </w:style>
  <w:style w:type="paragraph" w:styleId="NormalWeb">
    <w:name w:val="Normal (Web)"/>
    <w:basedOn w:val="Normal"/>
    <w:uiPriority w:val="99"/>
    <w:unhideWhenUsed/>
    <w:rsid w:val="00A50DB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81731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702319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0210861">
      <w:bodyDiv w:val="1"/>
      <w:marLeft w:val="0"/>
      <w:marRight w:val="0"/>
      <w:marTop w:val="0"/>
      <w:marBottom w:val="0"/>
      <w:divBdr>
        <w:top w:val="none" w:sz="0" w:space="0" w:color="auto"/>
        <w:left w:val="none" w:sz="0" w:space="0" w:color="auto"/>
        <w:bottom w:val="none" w:sz="0" w:space="0" w:color="auto"/>
        <w:right w:val="none" w:sz="0" w:space="0" w:color="auto"/>
      </w:divBdr>
    </w:div>
    <w:div w:id="17316165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5AIRPNAIUNRU-859666464-12932</_dlc_DocId>
    <_dlc_DocIdUrl xmlns="71c5aaf6-e6ce-465b-b873-5148d2a4c105">
      <Url>https://nokia.sharepoint.com/sites/c5g/e2earch/_layouts/15/DocIdRedir.aspx?ID=5AIRPNAIUNRU-859666464-12932</Url>
      <Description>5AIRPNAIUNRU-859666464-12932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BAE686D-1528-4914-8269-DE3E0D0AF791}">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5</Pages>
  <Words>1857</Words>
  <Characters>9256</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120</cp:revision>
  <dcterms:created xsi:type="dcterms:W3CDTF">2022-10-28T09:12:00Z</dcterms:created>
  <dcterms:modified xsi:type="dcterms:W3CDTF">2022-11-03T20:46:00Z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a8fcdc19-60ff-4b8f-bae9-0cc9c98f1787</vt:lpwstr>
  </property>
</Properties>
</file>